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BACD" w14:textId="77777777" w:rsidR="000A6F19" w:rsidRDefault="00D96008">
      <w:pPr>
        <w:spacing w:after="4739"/>
        <w:ind w:left="1812" w:right="2442"/>
        <w:jc w:val="center"/>
      </w:pPr>
      <w:r>
        <w:rPr>
          <w:sz w:val="28"/>
        </w:rPr>
        <w:t>MINISTERIO DE EDUCACIÓN</w:t>
      </w:r>
    </w:p>
    <w:p w14:paraId="60962AD4" w14:textId="77777777" w:rsidR="000A6F19" w:rsidRDefault="00D96008">
      <w:pPr>
        <w:ind w:left="1812" w:right="2442"/>
        <w:jc w:val="center"/>
      </w:pPr>
      <w:r>
        <w:rPr>
          <w:sz w:val="28"/>
        </w:rPr>
        <w:t>INFORME DE AUDITORÍA INTERNA</w:t>
      </w:r>
    </w:p>
    <w:p w14:paraId="7BF5F77B" w14:textId="77777777" w:rsidR="000A6F19" w:rsidRDefault="00D96008">
      <w:pPr>
        <w:spacing w:after="0" w:line="259" w:lineRule="auto"/>
        <w:ind w:left="888" w:right="0" w:firstLine="0"/>
        <w:jc w:val="left"/>
      </w:pPr>
      <w:r>
        <w:rPr>
          <w:sz w:val="28"/>
        </w:rPr>
        <w:t>DIRECCIÓN DEPARTAMENTAL DE EDUCACIÓN DE ALTA VERAPAZ</w:t>
      </w:r>
    </w:p>
    <w:p w14:paraId="26241C2D" w14:textId="77777777" w:rsidR="000A6F19" w:rsidRDefault="00D96008">
      <w:pPr>
        <w:spacing w:after="5026"/>
        <w:ind w:left="1812" w:right="2442"/>
        <w:jc w:val="center"/>
      </w:pPr>
      <w:r>
        <w:rPr>
          <w:sz w:val="28"/>
        </w:rPr>
        <w:t xml:space="preserve">Del 01 de </w:t>
      </w:r>
      <w:r w:rsidR="00D44B6F">
        <w:rPr>
          <w:sz w:val="28"/>
        </w:rPr>
        <w:t>enero</w:t>
      </w:r>
      <w:r>
        <w:rPr>
          <w:sz w:val="28"/>
        </w:rPr>
        <w:t xml:space="preserve"> de 2022 al 19 de </w:t>
      </w:r>
      <w:r w:rsidR="00D44B6F">
        <w:rPr>
          <w:sz w:val="28"/>
        </w:rPr>
        <w:t>junio</w:t>
      </w:r>
      <w:r>
        <w:rPr>
          <w:sz w:val="28"/>
        </w:rPr>
        <w:t xml:space="preserve"> de 2022 CAI 00040</w:t>
      </w:r>
    </w:p>
    <w:p w14:paraId="5259B2CD" w14:textId="77777777" w:rsidR="000A6F19" w:rsidRDefault="00D96008">
      <w:pPr>
        <w:ind w:left="1812" w:right="2442"/>
        <w:jc w:val="center"/>
      </w:pPr>
      <w:r>
        <w:rPr>
          <w:sz w:val="28"/>
        </w:rPr>
        <w:t xml:space="preserve">GUATEMALA, 18 de </w:t>
      </w:r>
      <w:r w:rsidR="00D44B6F">
        <w:rPr>
          <w:sz w:val="28"/>
        </w:rPr>
        <w:t>agosto</w:t>
      </w:r>
      <w:r>
        <w:rPr>
          <w:sz w:val="28"/>
        </w:rPr>
        <w:t xml:space="preserve"> de 2022</w:t>
      </w:r>
    </w:p>
    <w:p w14:paraId="562D551D" w14:textId="77777777" w:rsidR="00D44B6F" w:rsidRDefault="00D44B6F">
      <w:pPr>
        <w:spacing w:after="1939" w:line="259" w:lineRule="auto"/>
        <w:ind w:left="0" w:right="640" w:firstLine="0"/>
        <w:jc w:val="right"/>
      </w:pPr>
    </w:p>
    <w:p w14:paraId="24270FEE" w14:textId="77777777" w:rsidR="000A6F19" w:rsidRDefault="00D96008">
      <w:pPr>
        <w:spacing w:after="1939" w:line="259" w:lineRule="auto"/>
        <w:ind w:left="0" w:right="640" w:firstLine="0"/>
        <w:jc w:val="right"/>
      </w:pPr>
      <w:r>
        <w:lastRenderedPageBreak/>
        <w:t xml:space="preserve">Guatemala, 18 de </w:t>
      </w:r>
      <w:r w:rsidR="00D44B6F">
        <w:t>agosto</w:t>
      </w:r>
      <w:r>
        <w:t xml:space="preserve"> de 2022</w:t>
      </w:r>
    </w:p>
    <w:p w14:paraId="099AE180" w14:textId="77777777" w:rsidR="000A6F19" w:rsidRDefault="00D96008" w:rsidP="00D44B6F">
      <w:pPr>
        <w:ind w:right="0"/>
        <w:jc w:val="left"/>
      </w:pPr>
      <w:r>
        <w:t xml:space="preserve">Presidente de la Junta </w:t>
      </w:r>
      <w:r w:rsidR="00D44B6F">
        <w:t>Directiva y</w:t>
      </w:r>
      <w:r>
        <w:t xml:space="preserve"> Representante </w:t>
      </w:r>
      <w:r w:rsidR="00D44B6F">
        <w:t>Legal de la Asociación Centro Don Bosco</w:t>
      </w:r>
      <w:r>
        <w:t>:</w:t>
      </w:r>
    </w:p>
    <w:p w14:paraId="15C99C48" w14:textId="77777777" w:rsidR="000A6F19" w:rsidRDefault="00D96008">
      <w:pPr>
        <w:ind w:left="-50" w:right="0"/>
        <w:jc w:val="left"/>
      </w:pPr>
      <w:r>
        <w:t xml:space="preserve"> Anthony Henry de Groot</w:t>
      </w:r>
    </w:p>
    <w:p w14:paraId="727D3325" w14:textId="77777777" w:rsidR="000A6F19" w:rsidRDefault="00D96008">
      <w:pPr>
        <w:spacing w:after="813"/>
        <w:ind w:left="-50" w:right="7298"/>
        <w:jc w:val="left"/>
      </w:pPr>
      <w:r>
        <w:t xml:space="preserve"> MINISTERIO DE </w:t>
      </w:r>
      <w:r w:rsidR="00D44B6F">
        <w:t>EDUCACIÓN Su</w:t>
      </w:r>
      <w:r>
        <w:t xml:space="preserve"> despacho</w:t>
      </w:r>
    </w:p>
    <w:p w14:paraId="48200D19" w14:textId="77777777" w:rsidR="000A6F19" w:rsidRDefault="00D96008">
      <w:pPr>
        <w:spacing w:after="527"/>
        <w:ind w:left="16" w:right="0"/>
        <w:jc w:val="left"/>
      </w:pPr>
      <w:r>
        <w:t>Señor(a):</w:t>
      </w:r>
    </w:p>
    <w:p w14:paraId="10A35F43" w14:textId="77777777" w:rsidR="000A6F19" w:rsidRDefault="00D96008">
      <w:pPr>
        <w:spacing w:after="562" w:line="234" w:lineRule="auto"/>
        <w:ind w:left="0" w:firstLine="0"/>
        <w:jc w:val="left"/>
      </w:pPr>
      <w:r>
        <w:t xml:space="preserve">De acuerdo a nombramiento de auditoría interna No. NAI-039-2022, emitido con fecha 22-06-2022, hago de su conocimiento en el informe de auditoría interna, actuamos de conformidad con la ordenanza de auditoría interna Gubernamental y Manual de Auditoría Interna </w:t>
      </w:r>
    </w:p>
    <w:p w14:paraId="668A4562" w14:textId="77777777" w:rsidR="000A6F19" w:rsidRDefault="00D96008">
      <w:pPr>
        <w:spacing w:after="527"/>
        <w:ind w:left="16" w:right="0"/>
        <w:jc w:val="left"/>
      </w:pPr>
      <w:r>
        <w:t>Sin otro particular, atentamente</w:t>
      </w:r>
    </w:p>
    <w:p w14:paraId="6194BBB5" w14:textId="77777777" w:rsidR="000A6F19" w:rsidRDefault="00D96008">
      <w:pPr>
        <w:tabs>
          <w:tab w:val="center" w:pos="7700"/>
        </w:tabs>
        <w:ind w:left="0" w:right="0" w:firstLine="0"/>
        <w:jc w:val="left"/>
      </w:pPr>
      <w:r>
        <w:t>F. ____________________________________________</w:t>
      </w:r>
      <w:r>
        <w:tab/>
        <w:t>F. ____________________________________________</w:t>
      </w:r>
    </w:p>
    <w:p w14:paraId="21F1F94E" w14:textId="77777777" w:rsidR="000A6F19" w:rsidRDefault="00D96008">
      <w:pPr>
        <w:tabs>
          <w:tab w:val="center" w:pos="2470"/>
          <w:tab w:val="center" w:pos="7670"/>
        </w:tabs>
        <w:ind w:left="0" w:right="0" w:firstLine="0"/>
        <w:jc w:val="left"/>
      </w:pPr>
      <w:r>
        <w:rPr>
          <w:rFonts w:ascii="Calibri" w:eastAsia="Calibri" w:hAnsi="Calibri" w:cs="Calibri"/>
          <w:sz w:val="22"/>
        </w:rPr>
        <w:tab/>
      </w:r>
      <w:r>
        <w:t xml:space="preserve"> Mayra Iliana </w:t>
      </w:r>
      <w:r w:rsidR="00D44B6F">
        <w:t>Hernández</w:t>
      </w:r>
      <w:r>
        <w:t xml:space="preserve"> </w:t>
      </w:r>
      <w:r w:rsidR="00D44B6F">
        <w:t>López</w:t>
      </w:r>
      <w:r>
        <w:tab/>
        <w:t xml:space="preserve"> Nehemias Ruiz Ramirez</w:t>
      </w:r>
    </w:p>
    <w:p w14:paraId="5AF5E40D" w14:textId="77777777" w:rsidR="000A6F19" w:rsidRDefault="00D96008">
      <w:pPr>
        <w:tabs>
          <w:tab w:val="center" w:pos="1665"/>
          <w:tab w:val="center" w:pos="6865"/>
        </w:tabs>
        <w:ind w:left="0" w:right="0" w:firstLine="0"/>
        <w:jc w:val="left"/>
      </w:pPr>
      <w:r>
        <w:rPr>
          <w:rFonts w:ascii="Calibri" w:eastAsia="Calibri" w:hAnsi="Calibri" w:cs="Calibri"/>
          <w:sz w:val="22"/>
        </w:rPr>
        <w:tab/>
      </w:r>
      <w:r>
        <w:t xml:space="preserve">                            Supervisor</w:t>
      </w:r>
      <w:r>
        <w:tab/>
        <w:t xml:space="preserve">                            </w:t>
      </w:r>
      <w:r w:rsidR="00D44B6F">
        <w:t>Auditor, Coordinador</w:t>
      </w:r>
    </w:p>
    <w:p w14:paraId="263AA1D6" w14:textId="77777777" w:rsidR="00D44B6F" w:rsidRDefault="00D44B6F">
      <w:pPr>
        <w:spacing w:after="160" w:line="259" w:lineRule="auto"/>
        <w:ind w:left="0" w:right="0" w:firstLine="0"/>
        <w:jc w:val="left"/>
        <w:rPr>
          <w:sz w:val="28"/>
        </w:rPr>
      </w:pPr>
      <w:r>
        <w:rPr>
          <w:sz w:val="28"/>
        </w:rPr>
        <w:br w:type="page"/>
      </w:r>
    </w:p>
    <w:p w14:paraId="325F63C9" w14:textId="77777777" w:rsidR="000A6F19" w:rsidRDefault="00D44B6F">
      <w:pPr>
        <w:ind w:left="1812" w:right="2442"/>
        <w:jc w:val="center"/>
      </w:pPr>
      <w:r>
        <w:rPr>
          <w:sz w:val="28"/>
        </w:rPr>
        <w:lastRenderedPageBreak/>
        <w:t>Índice</w:t>
      </w:r>
    </w:p>
    <w:sdt>
      <w:sdtPr>
        <w:id w:val="-1633931153"/>
        <w:docPartObj>
          <w:docPartGallery w:val="Table of Contents"/>
        </w:docPartObj>
      </w:sdtPr>
      <w:sdtEndPr/>
      <w:sdtContent>
        <w:p w14:paraId="1083F615" w14:textId="77777777" w:rsidR="000A6F19" w:rsidRDefault="00D96008">
          <w:pPr>
            <w:pStyle w:val="TDC1"/>
            <w:tabs>
              <w:tab w:val="right" w:pos="10640"/>
            </w:tabs>
          </w:pPr>
          <w:r>
            <w:fldChar w:fldCharType="begin"/>
          </w:r>
          <w:r>
            <w:instrText xml:space="preserve"> TOC \o "1-2" \h \z \u </w:instrText>
          </w:r>
          <w:r>
            <w:fldChar w:fldCharType="separate"/>
          </w:r>
          <w:hyperlink w:anchor="_Toc12516">
            <w:r>
              <w:t>1. INFORMACIÓN GENERAL</w:t>
            </w:r>
            <w:r>
              <w:tab/>
            </w:r>
            <w:r>
              <w:fldChar w:fldCharType="begin"/>
            </w:r>
            <w:r>
              <w:instrText>PAGEREF _Toc12516 \h</w:instrText>
            </w:r>
            <w:r>
              <w:fldChar w:fldCharType="separate"/>
            </w:r>
            <w:r>
              <w:t>4</w:t>
            </w:r>
            <w:r>
              <w:fldChar w:fldCharType="end"/>
            </w:r>
          </w:hyperlink>
        </w:p>
        <w:p w14:paraId="318431DC" w14:textId="77777777" w:rsidR="000A6F19" w:rsidRDefault="00B53327">
          <w:pPr>
            <w:pStyle w:val="TDC1"/>
            <w:tabs>
              <w:tab w:val="right" w:pos="10640"/>
            </w:tabs>
          </w:pPr>
          <w:hyperlink w:anchor="_Toc12517">
            <w:r w:rsidR="00D96008">
              <w:t>2. FUNDAMENTO LEGAL</w:t>
            </w:r>
            <w:r w:rsidR="00D96008">
              <w:tab/>
            </w:r>
            <w:r w:rsidR="00D96008">
              <w:fldChar w:fldCharType="begin"/>
            </w:r>
            <w:r w:rsidR="00D96008">
              <w:instrText>PAGEREF _Toc12517 \h</w:instrText>
            </w:r>
            <w:r w:rsidR="00D96008">
              <w:fldChar w:fldCharType="separate"/>
            </w:r>
            <w:r w:rsidR="00D96008">
              <w:t>4</w:t>
            </w:r>
            <w:r w:rsidR="00D96008">
              <w:fldChar w:fldCharType="end"/>
            </w:r>
          </w:hyperlink>
        </w:p>
        <w:p w14:paraId="3779A189" w14:textId="77777777" w:rsidR="000A6F19" w:rsidRDefault="00B53327">
          <w:pPr>
            <w:pStyle w:val="TDC1"/>
            <w:tabs>
              <w:tab w:val="right" w:pos="10640"/>
            </w:tabs>
          </w:pPr>
          <w:hyperlink w:anchor="_Toc12518">
            <w:r w:rsidR="00D96008">
              <w:t>3. IDENTIFICACIÓN DE LAS NORMAS DE AUDITORIA INTERNA OBSERVADAS</w:t>
            </w:r>
            <w:r w:rsidR="00D96008">
              <w:tab/>
            </w:r>
            <w:r w:rsidR="00D96008">
              <w:fldChar w:fldCharType="begin"/>
            </w:r>
            <w:r w:rsidR="00D96008">
              <w:instrText>PAGEREF _Toc12518 \h</w:instrText>
            </w:r>
            <w:r w:rsidR="00D96008">
              <w:fldChar w:fldCharType="separate"/>
            </w:r>
            <w:r w:rsidR="00D96008">
              <w:t>4</w:t>
            </w:r>
            <w:r w:rsidR="00D96008">
              <w:fldChar w:fldCharType="end"/>
            </w:r>
          </w:hyperlink>
        </w:p>
        <w:p w14:paraId="5036CBBA" w14:textId="77777777" w:rsidR="000A6F19" w:rsidRDefault="00B53327">
          <w:pPr>
            <w:pStyle w:val="TDC1"/>
            <w:tabs>
              <w:tab w:val="right" w:pos="10640"/>
            </w:tabs>
          </w:pPr>
          <w:hyperlink w:anchor="_Toc12519">
            <w:r w:rsidR="00D96008">
              <w:t>4. OBJETIVOS</w:t>
            </w:r>
            <w:r w:rsidR="00D96008">
              <w:tab/>
            </w:r>
            <w:r w:rsidR="00D96008">
              <w:fldChar w:fldCharType="begin"/>
            </w:r>
            <w:r w:rsidR="00D96008">
              <w:instrText>PAGEREF _Toc12519 \h</w:instrText>
            </w:r>
            <w:r w:rsidR="00D96008">
              <w:fldChar w:fldCharType="separate"/>
            </w:r>
            <w:r w:rsidR="00D96008">
              <w:t>5</w:t>
            </w:r>
            <w:r w:rsidR="00D96008">
              <w:fldChar w:fldCharType="end"/>
            </w:r>
          </w:hyperlink>
        </w:p>
        <w:p w14:paraId="613278EF" w14:textId="77777777" w:rsidR="000A6F19" w:rsidRDefault="00B53327">
          <w:pPr>
            <w:pStyle w:val="TDC2"/>
            <w:tabs>
              <w:tab w:val="right" w:pos="10640"/>
            </w:tabs>
          </w:pPr>
          <w:hyperlink w:anchor="_Toc12520">
            <w:r w:rsidR="00D96008">
              <w:t>4.1 GENERAL</w:t>
            </w:r>
            <w:r w:rsidR="00D96008">
              <w:tab/>
            </w:r>
            <w:r w:rsidR="00D96008">
              <w:fldChar w:fldCharType="begin"/>
            </w:r>
            <w:r w:rsidR="00D96008">
              <w:instrText>PAGEREF _Toc12520 \h</w:instrText>
            </w:r>
            <w:r w:rsidR="00D96008">
              <w:fldChar w:fldCharType="separate"/>
            </w:r>
            <w:r w:rsidR="00D96008">
              <w:t>5</w:t>
            </w:r>
            <w:r w:rsidR="00D96008">
              <w:fldChar w:fldCharType="end"/>
            </w:r>
          </w:hyperlink>
        </w:p>
        <w:p w14:paraId="685644E9" w14:textId="77777777" w:rsidR="000A6F19" w:rsidRDefault="00B53327">
          <w:pPr>
            <w:pStyle w:val="TDC2"/>
            <w:tabs>
              <w:tab w:val="right" w:pos="10640"/>
            </w:tabs>
          </w:pPr>
          <w:hyperlink w:anchor="_Toc12521">
            <w:r w:rsidR="00D96008">
              <w:t>4.2 ESPECÍFICOS</w:t>
            </w:r>
            <w:r w:rsidR="00D96008">
              <w:tab/>
            </w:r>
            <w:r w:rsidR="00D96008">
              <w:fldChar w:fldCharType="begin"/>
            </w:r>
            <w:r w:rsidR="00D96008">
              <w:instrText>PAGEREF _Toc12521 \h</w:instrText>
            </w:r>
            <w:r w:rsidR="00D96008">
              <w:fldChar w:fldCharType="separate"/>
            </w:r>
            <w:r w:rsidR="00D96008">
              <w:t>5</w:t>
            </w:r>
            <w:r w:rsidR="00D96008">
              <w:fldChar w:fldCharType="end"/>
            </w:r>
          </w:hyperlink>
        </w:p>
        <w:p w14:paraId="509E818D" w14:textId="77777777" w:rsidR="000A6F19" w:rsidRDefault="00B53327">
          <w:pPr>
            <w:pStyle w:val="TDC1"/>
            <w:tabs>
              <w:tab w:val="right" w:pos="10640"/>
            </w:tabs>
          </w:pPr>
          <w:hyperlink w:anchor="_Toc12522">
            <w:r w:rsidR="00D96008">
              <w:t>5. ALCANCE</w:t>
            </w:r>
            <w:r w:rsidR="00D96008">
              <w:tab/>
            </w:r>
            <w:r w:rsidR="00D96008">
              <w:fldChar w:fldCharType="begin"/>
            </w:r>
            <w:r w:rsidR="00D96008">
              <w:instrText>PAGEREF _Toc12522 \h</w:instrText>
            </w:r>
            <w:r w:rsidR="00D96008">
              <w:fldChar w:fldCharType="separate"/>
            </w:r>
            <w:r w:rsidR="00D96008">
              <w:t>5</w:t>
            </w:r>
            <w:r w:rsidR="00D96008">
              <w:fldChar w:fldCharType="end"/>
            </w:r>
          </w:hyperlink>
        </w:p>
        <w:p w14:paraId="6BDCCF11" w14:textId="77777777" w:rsidR="000A6F19" w:rsidRDefault="00B53327">
          <w:pPr>
            <w:pStyle w:val="TDC2"/>
            <w:tabs>
              <w:tab w:val="right" w:pos="10640"/>
            </w:tabs>
          </w:pPr>
          <w:hyperlink w:anchor="_Toc12523">
            <w:r w:rsidR="00D96008">
              <w:t>5.1 LIMITACIONES AL ALCANCE</w:t>
            </w:r>
            <w:r w:rsidR="00D96008">
              <w:tab/>
            </w:r>
            <w:r w:rsidR="00D96008">
              <w:fldChar w:fldCharType="begin"/>
            </w:r>
            <w:r w:rsidR="00D96008">
              <w:instrText>PAGEREF _Toc12523 \h</w:instrText>
            </w:r>
            <w:r w:rsidR="00D96008">
              <w:fldChar w:fldCharType="separate"/>
            </w:r>
            <w:r w:rsidR="00D96008">
              <w:t>5</w:t>
            </w:r>
            <w:r w:rsidR="00D96008">
              <w:fldChar w:fldCharType="end"/>
            </w:r>
          </w:hyperlink>
        </w:p>
        <w:p w14:paraId="1100BF02" w14:textId="77777777" w:rsidR="000A6F19" w:rsidRDefault="00B53327">
          <w:pPr>
            <w:pStyle w:val="TDC1"/>
            <w:tabs>
              <w:tab w:val="right" w:pos="10640"/>
            </w:tabs>
          </w:pPr>
          <w:hyperlink w:anchor="_Toc12524">
            <w:r w:rsidR="00D96008">
              <w:t>6. ESTRATEGIAS</w:t>
            </w:r>
            <w:r w:rsidR="00D96008">
              <w:tab/>
            </w:r>
            <w:r w:rsidR="00D96008">
              <w:fldChar w:fldCharType="begin"/>
            </w:r>
            <w:r w:rsidR="00D96008">
              <w:instrText>PAGEREF _Toc12524 \h</w:instrText>
            </w:r>
            <w:r w:rsidR="00D96008">
              <w:fldChar w:fldCharType="separate"/>
            </w:r>
            <w:r w:rsidR="00D96008">
              <w:t>5</w:t>
            </w:r>
            <w:r w:rsidR="00D96008">
              <w:fldChar w:fldCharType="end"/>
            </w:r>
          </w:hyperlink>
        </w:p>
        <w:p w14:paraId="64AC5EB4" w14:textId="77777777" w:rsidR="000A6F19" w:rsidRDefault="00B53327">
          <w:pPr>
            <w:pStyle w:val="TDC1"/>
            <w:tabs>
              <w:tab w:val="right" w:pos="10640"/>
            </w:tabs>
          </w:pPr>
          <w:hyperlink w:anchor="_Toc12525">
            <w:r w:rsidR="00D96008">
              <w:t>7. RESULTADOS DE LA AUDITORÍA</w:t>
            </w:r>
            <w:r w:rsidR="00D96008">
              <w:tab/>
            </w:r>
            <w:r w:rsidR="00D96008">
              <w:fldChar w:fldCharType="begin"/>
            </w:r>
            <w:r w:rsidR="00D96008">
              <w:instrText>PAGEREF _Toc12525 \h</w:instrText>
            </w:r>
            <w:r w:rsidR="00D96008">
              <w:fldChar w:fldCharType="separate"/>
            </w:r>
            <w:r w:rsidR="00D96008">
              <w:t>6</w:t>
            </w:r>
            <w:r w:rsidR="00D96008">
              <w:fldChar w:fldCharType="end"/>
            </w:r>
          </w:hyperlink>
        </w:p>
        <w:p w14:paraId="43BA1B52" w14:textId="77777777" w:rsidR="000A6F19" w:rsidRDefault="00B53327">
          <w:pPr>
            <w:pStyle w:val="TDC2"/>
            <w:tabs>
              <w:tab w:val="right" w:pos="10640"/>
            </w:tabs>
          </w:pPr>
          <w:hyperlink w:anchor="_Toc12526">
            <w:r w:rsidR="00D96008">
              <w:t>7.1 DEFICIENCIAS SIN ACCIÓN</w:t>
            </w:r>
            <w:r w:rsidR="00D96008">
              <w:tab/>
            </w:r>
            <w:r w:rsidR="00D96008">
              <w:fldChar w:fldCharType="begin"/>
            </w:r>
            <w:r w:rsidR="00D96008">
              <w:instrText>PAGEREF _Toc12526 \h</w:instrText>
            </w:r>
            <w:r w:rsidR="00D96008">
              <w:fldChar w:fldCharType="separate"/>
            </w:r>
            <w:r w:rsidR="00D96008">
              <w:t>6</w:t>
            </w:r>
            <w:r w:rsidR="00D96008">
              <w:fldChar w:fldCharType="end"/>
            </w:r>
          </w:hyperlink>
        </w:p>
        <w:p w14:paraId="55B70343" w14:textId="77777777" w:rsidR="000A6F19" w:rsidRDefault="00B53327">
          <w:pPr>
            <w:pStyle w:val="TDC1"/>
            <w:tabs>
              <w:tab w:val="right" w:pos="10640"/>
            </w:tabs>
          </w:pPr>
          <w:hyperlink w:anchor="_Toc12527">
            <w:r w:rsidR="00D96008">
              <w:t>8. CONCLUSIÓN ESPECÍFICA</w:t>
            </w:r>
            <w:r w:rsidR="00D96008">
              <w:tab/>
            </w:r>
            <w:r w:rsidR="00D96008">
              <w:fldChar w:fldCharType="begin"/>
            </w:r>
            <w:r w:rsidR="00D96008">
              <w:instrText>PAGEREF _Toc12527 \h</w:instrText>
            </w:r>
            <w:r w:rsidR="00D96008">
              <w:fldChar w:fldCharType="separate"/>
            </w:r>
            <w:r w:rsidR="00D96008">
              <w:t>8</w:t>
            </w:r>
            <w:r w:rsidR="00D96008">
              <w:fldChar w:fldCharType="end"/>
            </w:r>
          </w:hyperlink>
        </w:p>
        <w:p w14:paraId="6904FF73" w14:textId="77777777" w:rsidR="000A6F19" w:rsidRDefault="00B53327">
          <w:pPr>
            <w:pStyle w:val="TDC1"/>
            <w:tabs>
              <w:tab w:val="right" w:pos="10640"/>
            </w:tabs>
          </w:pPr>
          <w:hyperlink w:anchor="_Toc12528">
            <w:r w:rsidR="00D96008">
              <w:t>9. EQUIPO DE AUDITORÍA</w:t>
            </w:r>
            <w:r w:rsidR="00D96008">
              <w:tab/>
            </w:r>
            <w:r w:rsidR="00D96008">
              <w:fldChar w:fldCharType="begin"/>
            </w:r>
            <w:r w:rsidR="00D96008">
              <w:instrText>PAGEREF _Toc12528 \h</w:instrText>
            </w:r>
            <w:r w:rsidR="00D96008">
              <w:fldChar w:fldCharType="separate"/>
            </w:r>
            <w:r w:rsidR="00D96008">
              <w:t>8</w:t>
            </w:r>
            <w:r w:rsidR="00D96008">
              <w:fldChar w:fldCharType="end"/>
            </w:r>
          </w:hyperlink>
        </w:p>
        <w:p w14:paraId="7FC8BE02" w14:textId="77777777" w:rsidR="000A6F19" w:rsidRDefault="00B53327">
          <w:pPr>
            <w:pStyle w:val="TDC1"/>
            <w:tabs>
              <w:tab w:val="right" w:pos="10640"/>
            </w:tabs>
          </w:pPr>
          <w:hyperlink w:anchor="_Toc12529">
            <w:r w:rsidR="00D96008">
              <w:t>ANEXO</w:t>
            </w:r>
            <w:r w:rsidR="00D96008">
              <w:tab/>
            </w:r>
            <w:r w:rsidR="00D96008">
              <w:fldChar w:fldCharType="begin"/>
            </w:r>
            <w:r w:rsidR="00D96008">
              <w:instrText>PAGEREF _Toc12529 \h</w:instrText>
            </w:r>
            <w:r w:rsidR="00D96008">
              <w:fldChar w:fldCharType="separate"/>
            </w:r>
            <w:r w:rsidR="00D96008">
              <w:t>8</w:t>
            </w:r>
            <w:r w:rsidR="00D96008">
              <w:fldChar w:fldCharType="end"/>
            </w:r>
          </w:hyperlink>
        </w:p>
        <w:p w14:paraId="532E4DC2" w14:textId="77777777" w:rsidR="000A6F19" w:rsidRDefault="00D96008">
          <w:r>
            <w:fldChar w:fldCharType="end"/>
          </w:r>
        </w:p>
      </w:sdtContent>
    </w:sdt>
    <w:p w14:paraId="3269EF35" w14:textId="77777777" w:rsidR="000A6F19" w:rsidRDefault="00D96008">
      <w:pPr>
        <w:ind w:right="385"/>
      </w:pPr>
      <w:r>
        <w:br w:type="page"/>
      </w:r>
    </w:p>
    <w:p w14:paraId="250A9507" w14:textId="77777777" w:rsidR="000A6F19" w:rsidRDefault="00D96008">
      <w:pPr>
        <w:pStyle w:val="Ttulo1"/>
        <w:spacing w:after="245"/>
        <w:ind w:left="258" w:right="385" w:hanging="258"/>
      </w:pPr>
      <w:bookmarkStart w:id="0" w:name="_Toc12516"/>
      <w:r>
        <w:lastRenderedPageBreak/>
        <w:t>INFORMACIÓN GENERAL</w:t>
      </w:r>
      <w:bookmarkEnd w:id="0"/>
    </w:p>
    <w:p w14:paraId="2204000B" w14:textId="77777777" w:rsidR="000A6F19" w:rsidRDefault="00D96008">
      <w:pPr>
        <w:ind w:left="395" w:right="385"/>
      </w:pPr>
      <w:r>
        <w:t>1.1 MISIÓN</w:t>
      </w:r>
    </w:p>
    <w:p w14:paraId="0E8258F3" w14:textId="77777777" w:rsidR="000A6F19" w:rsidRDefault="00D96008">
      <w:pPr>
        <w:spacing w:after="250"/>
        <w:ind w:left="750" w:right="385"/>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399B2989" w14:textId="77777777" w:rsidR="000A6F19" w:rsidRDefault="00D96008">
      <w:pPr>
        <w:ind w:left="395" w:right="385"/>
      </w:pPr>
      <w:r>
        <w:t>1.2 VISIÓN</w:t>
      </w:r>
    </w:p>
    <w:p w14:paraId="10953CA5" w14:textId="77777777" w:rsidR="000A6F19" w:rsidRDefault="00D96008">
      <w:pPr>
        <w:spacing w:after="532"/>
        <w:ind w:left="750" w:right="385"/>
      </w:pPr>
      <w:r>
        <w:t>Formar ciudadanos con carácter, capaces de aprender por sí mismos, orgullosos de ser guatemaltecos, empeñados en conseguir su desarrollo integral, con principios, valores y convicciones que fundamentan su conducta.</w:t>
      </w:r>
    </w:p>
    <w:p w14:paraId="4844518B" w14:textId="77777777" w:rsidR="000A6F19" w:rsidRDefault="00D96008">
      <w:pPr>
        <w:pStyle w:val="Ttulo1"/>
        <w:ind w:left="258" w:right="385" w:hanging="258"/>
      </w:pPr>
      <w:bookmarkStart w:id="1" w:name="_Toc12517"/>
      <w:r>
        <w:t>FUNDAMENTO LEGAL</w:t>
      </w:r>
      <w:bookmarkEnd w:id="1"/>
    </w:p>
    <w:p w14:paraId="7FF925E5" w14:textId="77777777" w:rsidR="000A6F19" w:rsidRDefault="00D96008">
      <w:pPr>
        <w:ind w:left="758" w:right="385" w:hanging="258"/>
      </w:pPr>
      <w:r>
        <w:rPr>
          <w:rFonts w:ascii="Calibri" w:eastAsia="Calibri" w:hAnsi="Calibri" w:cs="Calibri"/>
          <w:noProof/>
          <w:sz w:val="22"/>
        </w:rPr>
        <mc:AlternateContent>
          <mc:Choice Requires="wpg">
            <w:drawing>
              <wp:inline distT="0" distB="0" distL="0" distR="0" wp14:anchorId="52B2C7B7" wp14:editId="2FA4A028">
                <wp:extent cx="50800" cy="50800"/>
                <wp:effectExtent l="0" t="0" r="0" b="0"/>
                <wp:docPr id="11131" name="Group 11131"/>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411" name="Shape 411"/>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31" style="width:4pt;height:4pt;mso-position-horizontal-relative:char;mso-position-vertical-relative:line" coordsize="508,508">
                <v:shape id="Shape 411"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Convenio de Subvención Económica No. 1-2022, suscrito entre el Ministerio de Educación a través de la Dirección Departamental de Educación de Alta Verapaz y la Asociación Centro Don Bosco.</w:t>
      </w:r>
    </w:p>
    <w:p w14:paraId="142FD1AF" w14:textId="77777777" w:rsidR="000A6F19" w:rsidRDefault="00D96008">
      <w:pPr>
        <w:ind w:left="510" w:right="38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A0EEDA" wp14:editId="0DF8169C">
                <wp:simplePos x="0" y="0"/>
                <wp:positionH relativeFrom="column">
                  <wp:posOffset>317500</wp:posOffset>
                </wp:positionH>
                <wp:positionV relativeFrom="paragraph">
                  <wp:posOffset>65186</wp:posOffset>
                </wp:positionV>
                <wp:extent cx="50800" cy="1658144"/>
                <wp:effectExtent l="0" t="0" r="0" b="0"/>
                <wp:wrapSquare wrapText="bothSides"/>
                <wp:docPr id="11132" name="Group 11132"/>
                <wp:cNvGraphicFramePr/>
                <a:graphic xmlns:a="http://schemas.openxmlformats.org/drawingml/2006/main">
                  <a:graphicData uri="http://schemas.microsoft.com/office/word/2010/wordprocessingGroup">
                    <wpg:wgp>
                      <wpg:cNvGrpSpPr/>
                      <wpg:grpSpPr>
                        <a:xfrm>
                          <a:off x="0" y="0"/>
                          <a:ext cx="50800" cy="1658144"/>
                          <a:chOff x="0" y="0"/>
                          <a:chExt cx="50800" cy="1658144"/>
                        </a:xfrm>
                      </wpg:grpSpPr>
                      <wps:wsp>
                        <wps:cNvPr id="441" name="Shape 441"/>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 name="Shape 480"/>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 name="Shape 500"/>
                        <wps:cNvSpPr/>
                        <wps:spPr>
                          <a:xfrm>
                            <a:off x="0" y="14287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 name="Shape 505"/>
                        <wps:cNvSpPr/>
                        <wps:spPr>
                          <a:xfrm>
                            <a:off x="0" y="160734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32" style="width:4pt;height:130.562pt;position:absolute;mso-position-horizontal-relative:text;mso-position-horizontal:absolute;margin-left:25pt;mso-position-vertical-relative:text;margin-top:5.13275pt;" coordsize="508,16581">
                <v:shape id="Shape 441"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459"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74"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80"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86"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92"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v:shape id="Shape 500" style="position:absolute;width:508;height:508;left:0;top:14287;" coordsize="50800,50800" path="m25400,0c39428,0,50800,11372,50800,25400c50800,39428,39428,50800,25400,50800c11372,50800,0,39428,0,25400c0,11372,11372,0,25400,0x">
                  <v:stroke weight="0pt" endcap="flat" joinstyle="miter" miterlimit="10" on="false" color="#000000" opacity="0"/>
                  <v:fill on="true" color="#000000"/>
                </v:shape>
                <v:shape id="Shape 505" style="position:absolute;width:508;height:508;left:0;top:16073;"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Acuerdo Gubernativo No.55-2016. Reglamento de Manejo de Subsidios y Subvenciones y su reforma en Acuerdo Gubernativo No.142-2017.</w:t>
      </w:r>
    </w:p>
    <w:p w14:paraId="098BD40F" w14:textId="77777777" w:rsidR="000A6F19" w:rsidRDefault="00D96008">
      <w:pPr>
        <w:ind w:left="510" w:right="385"/>
      </w:pPr>
      <w:r>
        <w:t>Acuerdo Gubernativo No. 805-2017. Marco Normativo del Programa de Subvenciones a Centros Educativos Privados Gratuitos.</w:t>
      </w:r>
    </w:p>
    <w:p w14:paraId="545300BD" w14:textId="77777777" w:rsidR="000A6F19" w:rsidRDefault="00D96008">
      <w:pPr>
        <w:ind w:left="510" w:right="385"/>
      </w:pPr>
      <w:r>
        <w:t>Acuerdo Ministerial No. 1240-2022 de aprobación del convenio No. 01-2022.</w:t>
      </w:r>
    </w:p>
    <w:p w14:paraId="0F5042D5" w14:textId="77777777" w:rsidR="000A6F19" w:rsidRDefault="00D96008">
      <w:pPr>
        <w:ind w:left="510" w:right="385"/>
      </w:pPr>
      <w:r>
        <w:t xml:space="preserve">Ordenanza de Auditoría Interna Gubernamental </w:t>
      </w:r>
    </w:p>
    <w:p w14:paraId="152095A3" w14:textId="77777777" w:rsidR="000A6F19" w:rsidRDefault="00D96008">
      <w:pPr>
        <w:ind w:left="510" w:right="385"/>
      </w:pPr>
      <w:r>
        <w:t xml:space="preserve">Manual de Auditoría Interna Gubernamental </w:t>
      </w:r>
    </w:p>
    <w:p w14:paraId="1E1940CB" w14:textId="77777777" w:rsidR="000A6F19" w:rsidRDefault="00D96008">
      <w:pPr>
        <w:ind w:left="510" w:right="385"/>
      </w:pPr>
      <w:r>
        <w:t xml:space="preserve">Normas de Auditoría Interna Gubernamental </w:t>
      </w:r>
    </w:p>
    <w:p w14:paraId="49D77686" w14:textId="77777777" w:rsidR="000A6F19" w:rsidRDefault="00D96008">
      <w:pPr>
        <w:spacing w:after="350"/>
        <w:ind w:left="510" w:right="2408"/>
      </w:pPr>
      <w:r>
        <w:t>Sistema Nacional de Control Interno Gubernamental</w:t>
      </w:r>
      <w:r w:rsidR="00D44B6F">
        <w:t xml:space="preserve"> –</w:t>
      </w:r>
      <w:r>
        <w:t>SINACIG</w:t>
      </w:r>
      <w:r w:rsidR="00D44B6F">
        <w:t xml:space="preserve">- </w:t>
      </w:r>
      <w:r>
        <w:t>Sistema SAG UDAI WEB</w:t>
      </w:r>
    </w:p>
    <w:p w14:paraId="69EAD728" w14:textId="77777777" w:rsidR="000A6F19" w:rsidRDefault="00D96008">
      <w:pPr>
        <w:ind w:left="395" w:right="385"/>
      </w:pPr>
      <w:r>
        <w:t>Nombramiento(s)</w:t>
      </w:r>
    </w:p>
    <w:p w14:paraId="714D099F" w14:textId="77777777" w:rsidR="000A6F19" w:rsidRDefault="00D96008">
      <w:pPr>
        <w:spacing w:after="527"/>
        <w:ind w:left="395" w:right="385"/>
      </w:pPr>
      <w:r>
        <w:t>No. 039-2022</w:t>
      </w:r>
    </w:p>
    <w:p w14:paraId="33770EC6" w14:textId="77777777" w:rsidR="000A6F19" w:rsidRDefault="00D96008">
      <w:pPr>
        <w:pStyle w:val="Ttulo1"/>
        <w:ind w:left="258" w:right="385" w:hanging="258"/>
      </w:pPr>
      <w:bookmarkStart w:id="2" w:name="_Toc12518"/>
      <w:r>
        <w:t>IDENTIFICACIÓN DE LAS NORMAS DE AUDITORIA INTERNA OBSERVADAS</w:t>
      </w:r>
      <w:bookmarkEnd w:id="2"/>
    </w:p>
    <w:p w14:paraId="797E9F10" w14:textId="77777777" w:rsidR="000A6F19" w:rsidRDefault="00D96008">
      <w:pPr>
        <w:spacing w:after="250"/>
        <w:ind w:left="395" w:right="385"/>
      </w:pPr>
      <w:r>
        <w:t>Para la realización de la auditoría se observaron las Normas de Auditoría Interna Gubernamental siguientes:</w:t>
      </w:r>
    </w:p>
    <w:p w14:paraId="09A9208D" w14:textId="77777777" w:rsidR="000A6F19" w:rsidRDefault="00D96008">
      <w:pPr>
        <w:ind w:left="395" w:right="385"/>
      </w:pPr>
      <w:r>
        <w:t>NAIGUB-1 Requerimientos generales;</w:t>
      </w:r>
    </w:p>
    <w:p w14:paraId="38527EE4" w14:textId="77777777" w:rsidR="000A6F19" w:rsidRDefault="00D96008">
      <w:pPr>
        <w:ind w:left="395" w:right="385"/>
      </w:pPr>
      <w:r>
        <w:t>NAIGUB-2 Requerimientos para el personal de auditoría interna;</w:t>
      </w:r>
    </w:p>
    <w:p w14:paraId="4FDAB71C" w14:textId="77777777" w:rsidR="000A6F19" w:rsidRDefault="00D96008">
      <w:pPr>
        <w:ind w:left="395" w:right="385"/>
      </w:pPr>
      <w:r>
        <w:t>NAIGUB-3 Evaluaciones a la actividad de auditoría interna;</w:t>
      </w:r>
    </w:p>
    <w:p w14:paraId="14AF958D" w14:textId="77777777" w:rsidR="000A6F19" w:rsidRDefault="00D96008">
      <w:pPr>
        <w:ind w:left="395" w:right="385"/>
      </w:pPr>
      <w:r>
        <w:t>NAIGUB-4 Plan Anual de Auditoría;</w:t>
      </w:r>
    </w:p>
    <w:p w14:paraId="2F08F6AC" w14:textId="77777777" w:rsidR="000A6F19" w:rsidRDefault="00D96008">
      <w:pPr>
        <w:ind w:left="395" w:right="385"/>
      </w:pPr>
      <w:r>
        <w:lastRenderedPageBreak/>
        <w:t>NAIGUB-5 Planificación de la auditoría;</w:t>
      </w:r>
    </w:p>
    <w:p w14:paraId="05EC0406" w14:textId="77777777" w:rsidR="000A6F19" w:rsidRDefault="00D96008">
      <w:pPr>
        <w:ind w:left="395" w:right="5203"/>
      </w:pPr>
      <w:r>
        <w:t>NAIGUB-6 Realización de la auditoría; NAIGUB-7 Comunicación de resultados;</w:t>
      </w:r>
    </w:p>
    <w:p w14:paraId="4A62FDFF" w14:textId="77777777" w:rsidR="000A6F19" w:rsidRDefault="00D96008">
      <w:pPr>
        <w:ind w:left="395" w:right="385"/>
      </w:pPr>
      <w:r>
        <w:t>NAIGUB-8 Seguimiento a recomendaciones.</w:t>
      </w:r>
    </w:p>
    <w:p w14:paraId="52B6F2BB" w14:textId="77777777" w:rsidR="00D44B6F" w:rsidRDefault="00D44B6F">
      <w:pPr>
        <w:ind w:left="395" w:right="385"/>
      </w:pPr>
    </w:p>
    <w:p w14:paraId="4F8ADAA1" w14:textId="77777777" w:rsidR="000A6F19" w:rsidRDefault="00D96008">
      <w:pPr>
        <w:pStyle w:val="Ttulo1"/>
        <w:spacing w:after="245"/>
        <w:ind w:left="258" w:right="385" w:hanging="258"/>
      </w:pPr>
      <w:bookmarkStart w:id="3" w:name="_Toc12519"/>
      <w:r>
        <w:t>OBJETIVOS</w:t>
      </w:r>
      <w:bookmarkEnd w:id="3"/>
    </w:p>
    <w:p w14:paraId="1CF24581" w14:textId="77777777" w:rsidR="000A6F19" w:rsidRDefault="00D96008">
      <w:pPr>
        <w:pStyle w:val="Ttulo2"/>
        <w:ind w:left="778" w:right="385" w:hanging="393"/>
      </w:pPr>
      <w:bookmarkStart w:id="4" w:name="_Toc12520"/>
      <w:r>
        <w:t>GENERAL</w:t>
      </w:r>
      <w:bookmarkEnd w:id="4"/>
    </w:p>
    <w:p w14:paraId="156138BD" w14:textId="77777777" w:rsidR="000A6F19" w:rsidRDefault="00D96008">
      <w:pPr>
        <w:spacing w:after="532"/>
        <w:ind w:left="750" w:right="385"/>
      </w:pPr>
      <w:r>
        <w:t>Verificar que los fondos sean ejecutados de conformidad a las cláusulas del convenio suscrito con DON BOSCO.</w:t>
      </w:r>
    </w:p>
    <w:p w14:paraId="4DCA5A17" w14:textId="77777777" w:rsidR="000A6F19" w:rsidRDefault="00D96008">
      <w:pPr>
        <w:pStyle w:val="Ttulo2"/>
        <w:ind w:left="778" w:right="385" w:hanging="393"/>
      </w:pPr>
      <w:bookmarkStart w:id="5" w:name="_Toc12521"/>
      <w:r>
        <w:t>ESPECÍFICOS</w:t>
      </w:r>
      <w:bookmarkEnd w:id="5"/>
    </w:p>
    <w:p w14:paraId="66EEFD5E" w14:textId="77777777" w:rsidR="000A6F19" w:rsidRDefault="00D96008">
      <w:pPr>
        <w:ind w:left="750" w:right="385"/>
      </w:pPr>
      <w:r>
        <w:t xml:space="preserve">Verificar que los porcentajes y renglones establecidos en las </w:t>
      </w:r>
      <w:r w:rsidR="00D44B6F">
        <w:t>cláusulas sean</w:t>
      </w:r>
      <w:r>
        <w:t xml:space="preserve"> aplicadas correctamente.</w:t>
      </w:r>
    </w:p>
    <w:p w14:paraId="797AF741" w14:textId="77777777" w:rsidR="000A6F19" w:rsidRDefault="00D44B6F">
      <w:pPr>
        <w:spacing w:after="527"/>
        <w:ind w:left="750" w:right="385"/>
      </w:pPr>
      <w:r>
        <w:t>Verificar la</w:t>
      </w:r>
      <w:r w:rsidR="00D96008">
        <w:t xml:space="preserve"> rendición de cuentas y si realizan cobros indebidos. </w:t>
      </w:r>
    </w:p>
    <w:p w14:paraId="7D6C7F55" w14:textId="77777777" w:rsidR="000A6F19" w:rsidRDefault="00D96008">
      <w:pPr>
        <w:pStyle w:val="Ttulo1"/>
        <w:ind w:left="258" w:right="385" w:hanging="258"/>
      </w:pPr>
      <w:bookmarkStart w:id="6" w:name="_Toc12522"/>
      <w:r>
        <w:t>ALCANCE</w:t>
      </w:r>
      <w:bookmarkEnd w:id="6"/>
    </w:p>
    <w:p w14:paraId="465DD07F" w14:textId="77777777" w:rsidR="000A6F19" w:rsidRDefault="00D96008">
      <w:pPr>
        <w:spacing w:after="255"/>
        <w:ind w:left="680" w:right="1200" w:firstLine="60"/>
      </w:pPr>
      <w:r>
        <w:t>La presente auditoría de cumplimiento y financiera de conformidad con el nombramiento No. Nai-039-2022-1, comprendió verificar que los fondos  ejecutados del 01 de enero al 31 de mayo del año 2022, de la subvención otorgada por el Ministerio de Educación a través de convenio No. 01-2022, suscrito  por el Director Departamental de la Dirección Departamental de Educación  de Alta Verapaz y la Asociación Centro Don Bosco, se ejecuten de forma transparente, racional y pertinente y se cumplan con las cláusulas del convenio, asimismo, se realizó visita de campo  en los centros educativos Don Bosco, situados en la aldea Tzacanihá, del municipio de San Pedro Carchá; Finca Chipar del municipio de San Juan Chamelco y en el municipio de Raxruhá, todos del departamento de Alta Verapaz.</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0A6F19" w14:paraId="444ECA7F"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18147247" w14:textId="77777777" w:rsidR="000A6F19" w:rsidRDefault="00D96008">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6370D4F9" w14:textId="77777777" w:rsidR="000A6F19" w:rsidRDefault="00D96008">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7AA743B9" w14:textId="77777777" w:rsidR="000A6F19" w:rsidRDefault="00D96008">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7DDE064A" w14:textId="77777777" w:rsidR="000A6F19" w:rsidRDefault="00D96008">
            <w:pPr>
              <w:spacing w:after="0" w:line="259" w:lineRule="auto"/>
              <w:ind w:left="0" w:right="0" w:firstLine="0"/>
              <w:jc w:val="left"/>
            </w:pPr>
            <w:r>
              <w:rPr>
                <w:color w:val="444444"/>
              </w:rPr>
              <w:t xml:space="preserve">Cálculo </w:t>
            </w:r>
          </w:p>
          <w:p w14:paraId="49A44F46" w14:textId="77777777" w:rsidR="000A6F19" w:rsidRDefault="00D96008">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3F821D27" w14:textId="77777777" w:rsidR="000A6F19" w:rsidRDefault="00D96008">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7DA52A25" w14:textId="77777777" w:rsidR="000A6F19" w:rsidRDefault="00D96008">
            <w:pPr>
              <w:spacing w:after="0" w:line="259" w:lineRule="auto"/>
              <w:ind w:left="0" w:right="0" w:firstLine="0"/>
              <w:jc w:val="left"/>
            </w:pPr>
            <w:r>
              <w:rPr>
                <w:color w:val="444444"/>
              </w:rPr>
              <w:t>Muestreo no estadístico</w:t>
            </w:r>
          </w:p>
        </w:tc>
      </w:tr>
      <w:tr w:rsidR="000A6F19" w14:paraId="2FDF5854"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1DBB4A1F" w14:textId="77777777" w:rsidR="000A6F19" w:rsidRDefault="00D96008">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351754E3" w14:textId="77777777" w:rsidR="000A6F19" w:rsidRDefault="00D96008">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5B206932" w14:textId="77777777" w:rsidR="000A6F19" w:rsidRDefault="00D96008">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0570901D" w14:textId="77777777" w:rsidR="000A6F19" w:rsidRDefault="00D96008">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4A55600F" w14:textId="77777777" w:rsidR="000A6F19" w:rsidRDefault="000A6F19">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4852E9C7" w14:textId="77777777" w:rsidR="000A6F19" w:rsidRDefault="00D96008">
            <w:pPr>
              <w:spacing w:after="0" w:line="259" w:lineRule="auto"/>
              <w:ind w:left="0" w:right="3" w:firstLine="0"/>
              <w:jc w:val="center"/>
            </w:pPr>
            <w:r>
              <w:rPr>
                <w:color w:val="444444"/>
                <w:sz w:val="16"/>
              </w:rPr>
              <w:t>0</w:t>
            </w:r>
          </w:p>
        </w:tc>
      </w:tr>
      <w:tr w:rsidR="000A6F19" w14:paraId="48757593"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264C4A9C" w14:textId="77777777" w:rsidR="000A6F19" w:rsidRDefault="00D96008">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57D71012" w14:textId="77777777" w:rsidR="000A6F19" w:rsidRDefault="00D96008">
            <w:pPr>
              <w:spacing w:after="0" w:line="259" w:lineRule="auto"/>
              <w:ind w:left="0" w:right="0" w:firstLine="0"/>
              <w:jc w:val="left"/>
            </w:pPr>
            <w:r>
              <w:rPr>
                <w:color w:val="444444"/>
                <w:sz w:val="16"/>
              </w:rPr>
              <w:t xml:space="preserve">El cumplimiento de lo establecido en el convenio suscrito </w:t>
            </w:r>
          </w:p>
        </w:tc>
        <w:tc>
          <w:tcPr>
            <w:tcW w:w="1380" w:type="dxa"/>
            <w:tcBorders>
              <w:top w:val="single" w:sz="8" w:space="0" w:color="000000"/>
              <w:left w:val="single" w:sz="8" w:space="0" w:color="000000"/>
              <w:bottom w:val="single" w:sz="8" w:space="0" w:color="000000"/>
              <w:right w:val="single" w:sz="8" w:space="0" w:color="000000"/>
            </w:tcBorders>
          </w:tcPr>
          <w:p w14:paraId="709074BA" w14:textId="77777777" w:rsidR="000A6F19" w:rsidRDefault="00D96008">
            <w:pPr>
              <w:spacing w:after="0" w:line="259" w:lineRule="auto"/>
              <w:ind w:left="0" w:right="3" w:firstLine="0"/>
              <w:jc w:val="center"/>
            </w:pPr>
            <w:r>
              <w:rPr>
                <w:color w:val="444444"/>
                <w:sz w:val="16"/>
              </w:rPr>
              <w:t>5</w:t>
            </w:r>
          </w:p>
        </w:tc>
        <w:tc>
          <w:tcPr>
            <w:tcW w:w="1980" w:type="dxa"/>
            <w:tcBorders>
              <w:top w:val="single" w:sz="8" w:space="0" w:color="000000"/>
              <w:left w:val="single" w:sz="8" w:space="0" w:color="000000"/>
              <w:bottom w:val="single" w:sz="8" w:space="0" w:color="000000"/>
              <w:right w:val="single" w:sz="8" w:space="0" w:color="000000"/>
            </w:tcBorders>
          </w:tcPr>
          <w:p w14:paraId="70DAFCE0" w14:textId="77777777" w:rsidR="000A6F19" w:rsidRDefault="00D96008">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C242094" w14:textId="77777777" w:rsidR="000A6F19" w:rsidRDefault="000A6F19">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31028357" w14:textId="77777777" w:rsidR="000A6F19" w:rsidRDefault="00D96008">
            <w:pPr>
              <w:spacing w:after="0" w:line="259" w:lineRule="auto"/>
              <w:ind w:left="0" w:right="3" w:firstLine="0"/>
              <w:jc w:val="center"/>
            </w:pPr>
            <w:r>
              <w:rPr>
                <w:color w:val="444444"/>
                <w:sz w:val="16"/>
              </w:rPr>
              <w:t>5</w:t>
            </w:r>
          </w:p>
        </w:tc>
      </w:tr>
    </w:tbl>
    <w:p w14:paraId="5D2C617E" w14:textId="77777777" w:rsidR="00D44B6F" w:rsidRDefault="00D44B6F" w:rsidP="00D44B6F">
      <w:pPr>
        <w:pStyle w:val="Ttulo2"/>
        <w:numPr>
          <w:ilvl w:val="0"/>
          <w:numId w:val="0"/>
        </w:numPr>
        <w:spacing w:after="532"/>
        <w:ind w:left="778" w:right="6369"/>
      </w:pPr>
      <w:bookmarkStart w:id="7" w:name="_Toc12523"/>
    </w:p>
    <w:p w14:paraId="0AA4F77E" w14:textId="77777777" w:rsidR="000A6F19" w:rsidRDefault="00D44B6F">
      <w:pPr>
        <w:pStyle w:val="Ttulo2"/>
        <w:spacing w:after="532"/>
        <w:ind w:left="778" w:right="6369" w:hanging="393"/>
      </w:pPr>
      <w:r>
        <w:t>L</w:t>
      </w:r>
      <w:r w:rsidR="00D96008">
        <w:t>IMITACIONES AL ALCANCE</w:t>
      </w:r>
      <w:bookmarkEnd w:id="7"/>
    </w:p>
    <w:p w14:paraId="75B752A5" w14:textId="77777777" w:rsidR="000A6F19" w:rsidRDefault="00D96008">
      <w:pPr>
        <w:spacing w:after="532"/>
        <w:ind w:left="725" w:right="6369" w:hanging="340"/>
      </w:pPr>
      <w:r>
        <w:t>N/A</w:t>
      </w:r>
    </w:p>
    <w:p w14:paraId="14EA74C9" w14:textId="77777777" w:rsidR="000A6F19" w:rsidRDefault="00D96008">
      <w:pPr>
        <w:pStyle w:val="Ttulo1"/>
        <w:ind w:left="258" w:right="385" w:hanging="258"/>
      </w:pPr>
      <w:bookmarkStart w:id="8" w:name="_Toc12524"/>
      <w:r>
        <w:t>ESTRATEGIAS</w:t>
      </w:r>
      <w:bookmarkEnd w:id="8"/>
    </w:p>
    <w:p w14:paraId="018F0BC7" w14:textId="77777777" w:rsidR="000A6F19" w:rsidRDefault="00D96008">
      <w:pPr>
        <w:spacing w:after="502"/>
        <w:ind w:left="750" w:right="1200"/>
      </w:pPr>
      <w:r>
        <w:t xml:space="preserve">Para la realización de la auditoría se tomó en cuenta aspectos relacionados con las actividades de control para determinar los recursos físicos y humanos en consideración de los </w:t>
      </w:r>
      <w:r w:rsidR="00D44B6F">
        <w:t>diferentes procedimientos</w:t>
      </w:r>
      <w:r>
        <w:t>; los cuales fueron solicitados mediante requerimientos de información, así como otros aspectos verificados de forma documental.</w:t>
      </w:r>
    </w:p>
    <w:p w14:paraId="67C39314" w14:textId="77777777" w:rsidR="000A6F19" w:rsidRDefault="00D96008">
      <w:pPr>
        <w:pStyle w:val="Ttulo1"/>
        <w:ind w:left="258" w:right="385" w:hanging="258"/>
      </w:pPr>
      <w:bookmarkStart w:id="9" w:name="_Toc12525"/>
      <w:r>
        <w:t>RESULTADOS DE LA AUDITORÍA</w:t>
      </w:r>
      <w:bookmarkEnd w:id="9"/>
    </w:p>
    <w:p w14:paraId="54EE528A" w14:textId="77777777" w:rsidR="000A6F19" w:rsidRDefault="00D96008">
      <w:pPr>
        <w:spacing w:after="250"/>
        <w:ind w:left="395" w:right="385"/>
      </w:pPr>
      <w:r>
        <w:t>De acuerdo al trabajo de auditoría realizado y cumplir con los procesos administrativos correspondientes, se presentan los riesgos materializados siguientes:</w:t>
      </w:r>
    </w:p>
    <w:p w14:paraId="55E14921" w14:textId="77777777" w:rsidR="000A6F19" w:rsidRDefault="00D96008">
      <w:pPr>
        <w:pStyle w:val="Ttulo2"/>
        <w:spacing w:after="245"/>
        <w:ind w:left="778" w:right="385" w:hanging="393"/>
      </w:pPr>
      <w:bookmarkStart w:id="10" w:name="_Toc12526"/>
      <w:r>
        <w:t>DEFICIENCIAS SIN ACCIÓN</w:t>
      </w:r>
      <w:bookmarkEnd w:id="10"/>
    </w:p>
    <w:p w14:paraId="3EBF5E64" w14:textId="77777777" w:rsidR="000A6F19" w:rsidRDefault="00D96008">
      <w:pPr>
        <w:spacing w:after="245"/>
        <w:ind w:left="350" w:right="0"/>
        <w:jc w:val="left"/>
      </w:pPr>
      <w:r>
        <w:t xml:space="preserve"> 1.  El cumplimiento de lo establecido en el convenio suscrito </w:t>
      </w:r>
    </w:p>
    <w:p w14:paraId="4E94EF47" w14:textId="77777777" w:rsidR="000A6F19" w:rsidRDefault="00D96008">
      <w:pPr>
        <w:spacing w:after="245"/>
        <w:ind w:left="350" w:right="0"/>
        <w:jc w:val="left"/>
      </w:pPr>
      <w:r>
        <w:t xml:space="preserve"> Riesgo materializado</w:t>
      </w:r>
    </w:p>
    <w:p w14:paraId="42AC658A" w14:textId="77777777" w:rsidR="000A6F19" w:rsidRDefault="00D96008">
      <w:pPr>
        <w:spacing w:after="250"/>
        <w:ind w:left="395" w:right="640"/>
      </w:pPr>
      <w:r>
        <w:t>En la Asociación Centro Don Bosco, al realizar auditoría de cumplimiento y financiera por el período del 1 de enero al 31 de mayo de 2022, se determinaron deficiencias en la forma siguiente:</w:t>
      </w:r>
    </w:p>
    <w:p w14:paraId="6AC02470" w14:textId="77777777" w:rsidR="000A6F19" w:rsidRDefault="00D96008">
      <w:pPr>
        <w:numPr>
          <w:ilvl w:val="0"/>
          <w:numId w:val="1"/>
        </w:numPr>
        <w:spacing w:after="250"/>
        <w:ind w:right="513" w:hanging="313"/>
      </w:pPr>
      <w:r>
        <w:t>Cheques de la cuenta bancaria del Banco Industrial No. 052-046439-6 a nombre de Asociación Centro Don Bosco, fueron registrados con cantidades o nombres de beneficiarios incorrectos, en el libro de bancos autorizado por la Contraloría General de Cuentas el 29 de mayo de 2014, registro No. 14-341-2014. El detalle de los mismos se presenta en oficio adjunto a la notificación de las deficiencias.</w:t>
      </w:r>
    </w:p>
    <w:p w14:paraId="6842DD90" w14:textId="77777777" w:rsidR="000A6F19" w:rsidRDefault="00D96008" w:rsidP="00093EAE">
      <w:pPr>
        <w:numPr>
          <w:ilvl w:val="0"/>
          <w:numId w:val="1"/>
        </w:numPr>
        <w:spacing w:after="250"/>
        <w:ind w:left="395" w:right="640" w:hanging="313"/>
      </w:pPr>
      <w:r>
        <w:t xml:space="preserve">Compras realizadas bajo la modalidad de baja cuantía, fueron publicadas </w:t>
      </w:r>
      <w:r w:rsidR="00D44B6F">
        <w:t>en Guatecompras</w:t>
      </w:r>
      <w:r>
        <w:t xml:space="preserve">, con atraso de más de cinco días hábiles después del plazo según </w:t>
      </w:r>
      <w:r w:rsidR="00D44B6F">
        <w:t>Artículo 13 del</w:t>
      </w:r>
      <w:r>
        <w:t xml:space="preserve"> Acuerdo Gubernativo No. 147-2021, que reforma el </w:t>
      </w:r>
      <w:r w:rsidR="00D44B6F">
        <w:t>Artículo</w:t>
      </w:r>
      <w:r>
        <w:t xml:space="preserve"> 26 del Acuerdo Gubernativo No. 122-2016. Reglamento de la Ley de Contrataciones del Estado.  El detalle de las mismas se presenta en oficio adjunto a la notificación de las deficiencias.</w:t>
      </w:r>
    </w:p>
    <w:p w14:paraId="683AC755" w14:textId="77777777" w:rsidR="000A6F19" w:rsidRDefault="00D96008">
      <w:pPr>
        <w:spacing w:after="250"/>
        <w:ind w:left="395" w:right="640"/>
      </w:pPr>
      <w:r>
        <w:lastRenderedPageBreak/>
        <w:t xml:space="preserve">En el punto tercero del Acta No. ACDB-04-2022, de fecha 16 de mayo de 2022, suscrita en las instalaciones de la Asociación Centro Don Bosco, </w:t>
      </w:r>
      <w:r w:rsidR="00D44B6F">
        <w:t>el subdirector</w:t>
      </w:r>
      <w:r>
        <w:t xml:space="preserve"> administrativo financiero de la Dirección Departamental de Educación de Alta Verapaz, dejo constancia del monitoreo realizado </w:t>
      </w:r>
      <w:r w:rsidR="00D44B6F">
        <w:t>e indicó</w:t>
      </w:r>
      <w:r>
        <w:t xml:space="preserve"> que el informe sería presentado en los siguientes días, sin embargo, el informe no ha sido presentado a la Asociación. </w:t>
      </w:r>
    </w:p>
    <w:p w14:paraId="31FE08E8" w14:textId="77777777" w:rsidR="000A6F19" w:rsidRDefault="00D96008">
      <w:pPr>
        <w:spacing w:after="245"/>
        <w:ind w:left="410" w:right="0"/>
        <w:jc w:val="left"/>
      </w:pPr>
      <w:r>
        <w:t>Comentario de la Auditoría</w:t>
      </w:r>
    </w:p>
    <w:p w14:paraId="79A87DE0" w14:textId="77777777" w:rsidR="000A6F19" w:rsidRDefault="00D96008">
      <w:pPr>
        <w:spacing w:after="221"/>
        <w:ind w:left="395" w:right="640"/>
      </w:pPr>
      <w:r>
        <w:t>No obstante que el representante legal de la Asociación Centro Don Bosco, en el oficio No. ACDB-154-2022, de fecha 11 de agosto de 2022, indicó que se ha procedido a dar instrucciones al personal responsable de la elaboración de la documentación contable y de la publicación en el Sistema Guatecompras para que las mismas se realicen dentro del plazo estipulado en el Artículo 13 del Acuerdo Gubernativo No. 147-2021, que reforma el Artículo 26 del Acuerdo Gubernativo No. 122-2016, sin embargo, no presentó evidencia que haya girado la instrucción por escrito, por lo que la deficiencia se confirma y será en el seguimiento a la auditoría en el que se verificará el cumplimiento a la recomendación emitida.  Ver Anexo No. 2.</w:t>
      </w:r>
    </w:p>
    <w:p w14:paraId="4FF1F329" w14:textId="77777777" w:rsidR="000A6F19" w:rsidRDefault="00D96008">
      <w:pPr>
        <w:spacing w:after="250"/>
        <w:ind w:left="395" w:right="640"/>
      </w:pPr>
      <w:r>
        <w:t xml:space="preserve">Se desvanece la deficiencia relacionada a 4 cheques que se encontraron registrados con cantidades o nombres de beneficiarios incorrectos, en el libro de bancos autorizado por la Contraloría General de Cuentas el 29 de mayo de 2014, registro No. 14-341-2014, derivado a que la Asociación Centro Don Bosco, en los comentarios vertidos en oficio No. ACDB-154-2022, de fecha 11 de agosto .de 2022, presentó documentación que evidencia las correcciones realizadas. </w:t>
      </w:r>
    </w:p>
    <w:p w14:paraId="100A3E3E" w14:textId="77777777" w:rsidR="000A6F19" w:rsidRDefault="00D96008">
      <w:pPr>
        <w:spacing w:after="250"/>
        <w:ind w:left="395" w:right="640"/>
      </w:pPr>
      <w:r>
        <w:t xml:space="preserve">Se desvanece la deficiencia señalada en cuanto a que el subdirector administrativo financiero de la Dirección Departamental de Educación de Alta Verapaz, a la fecha de la auditoría no había presentado el informe de la supervisión y monitoreo realizado, lo cual la Asociación Centro Don Bosco evidencia que fue presentado según Oficio No.SUBAF-66-2022, de fecha 8 de agosto de 2022. </w:t>
      </w:r>
    </w:p>
    <w:p w14:paraId="74029BE6" w14:textId="77777777" w:rsidR="000A6F19" w:rsidRDefault="00D96008">
      <w:pPr>
        <w:spacing w:after="245"/>
        <w:ind w:left="410" w:right="0"/>
        <w:jc w:val="left"/>
      </w:pPr>
      <w:r>
        <w:t>Comentario de los Responsables</w:t>
      </w:r>
    </w:p>
    <w:p w14:paraId="2323BC6B" w14:textId="77777777" w:rsidR="000A6F19" w:rsidRDefault="00D96008">
      <w:pPr>
        <w:ind w:left="395" w:right="640"/>
      </w:pPr>
      <w:r>
        <w:t>En Oficio No. Oficio No. ACDB-154-2022, de fecha 11 de agosto de 2022, el Presidente y representante legal de la Asociación Centro Don Bosco, se indica lo que manifestaron en forma resumida:</w:t>
      </w:r>
    </w:p>
    <w:p w14:paraId="2D002412" w14:textId="77777777" w:rsidR="00D44B6F" w:rsidRDefault="00D44B6F">
      <w:pPr>
        <w:ind w:left="395" w:right="640"/>
      </w:pPr>
    </w:p>
    <w:p w14:paraId="7974A026" w14:textId="77777777" w:rsidR="000A6F19" w:rsidRDefault="00D96008">
      <w:pPr>
        <w:spacing w:after="250"/>
        <w:ind w:left="395" w:right="640"/>
      </w:pPr>
      <w:proofErr w:type="gramStart"/>
      <w:r>
        <w:t>En relación al</w:t>
      </w:r>
      <w:proofErr w:type="gramEnd"/>
      <w:r>
        <w:t xml:space="preserve"> registro de cheques indicaron que por un error en la impresión en el folio, se consignó mal la información, sin embargo, en la Caja Fiscal correspondiente sí está registrada correctamente dicha información. Se adjunta copia del folio No. 847065 de la Caja Fiscal, que evidencia la correcta información.  Se procedió a anular el folio No. 456, </w:t>
      </w:r>
      <w:r>
        <w:lastRenderedPageBreak/>
        <w:t xml:space="preserve">donde estaba impresa y consignada de forma errónea la información. Se procedió a imprimir en un nuevo folio (No. 476) con la información correcta. </w:t>
      </w:r>
    </w:p>
    <w:p w14:paraId="0A30DB4D" w14:textId="77777777" w:rsidR="000A6F19" w:rsidRDefault="00D96008">
      <w:pPr>
        <w:spacing w:after="250"/>
        <w:ind w:left="395" w:right="640"/>
      </w:pPr>
      <w:r>
        <w:t xml:space="preserve">En las cuanto a la publicación de las compras indicaron: Que se ha procedido a dar instrucciones al personal responsable de la elaboración de la documentación contable y de la publicación en el Sistema Guatecompras para que las mismas se realicen dentro del plazo estipulado en el Artículo 13 del Acuerdo Gubernativo No. 147-2021, que reforma el Artículo 26 del Acuerdo Gubernativo No. 122-2016. </w:t>
      </w:r>
    </w:p>
    <w:p w14:paraId="0F59D871" w14:textId="77777777" w:rsidR="000A6F19" w:rsidRDefault="00D96008">
      <w:pPr>
        <w:spacing w:after="250"/>
        <w:ind w:left="395" w:right="640"/>
      </w:pPr>
      <w:r>
        <w:t>Como evidencia de que se están publicando las facturas en los 5 días hábiles establecidos por la ley, se adjuntan fotocopias de 3 registros de facturas publicadas en el sistema Guatecompras, dentro del plazo indicado.</w:t>
      </w:r>
    </w:p>
    <w:p w14:paraId="04D114C3" w14:textId="77777777" w:rsidR="000A6F19" w:rsidRDefault="00D96008">
      <w:pPr>
        <w:spacing w:after="250"/>
        <w:ind w:left="395" w:right="640"/>
      </w:pPr>
      <w:r>
        <w:t xml:space="preserve">Y adjuntaron Oficio No. SUB- AF. 66-2022, de fecha 08/08/2022 del Subdirector Administrativo Financiero de la Dirección Departamental de Educación de Alta Verapaz, dirigido a la Asociación Centro Don Bosco, que contiene informe de resultados obtenidos en monitoreo realizado con fecha 16/05/2022. </w:t>
      </w:r>
    </w:p>
    <w:p w14:paraId="641628AC" w14:textId="77777777" w:rsidR="000A6F19" w:rsidRDefault="00D96008">
      <w:pPr>
        <w:spacing w:after="245"/>
        <w:ind w:left="410" w:right="0"/>
        <w:jc w:val="left"/>
      </w:pPr>
      <w:r>
        <w:t xml:space="preserve">Responsables del área </w:t>
      </w:r>
    </w:p>
    <w:p w14:paraId="4123324A" w14:textId="77777777" w:rsidR="000A6F19" w:rsidRDefault="00D96008">
      <w:pPr>
        <w:ind w:left="395" w:right="385"/>
      </w:pPr>
      <w:r>
        <w:t>ANTHONY HENRY DE GROOT</w:t>
      </w:r>
    </w:p>
    <w:p w14:paraId="7E4D189F" w14:textId="77777777" w:rsidR="000A6F19" w:rsidRDefault="00D96008">
      <w:pPr>
        <w:ind w:left="395" w:right="385"/>
      </w:pPr>
      <w:r>
        <w:t>EDWIN ESTUARDO COY PACAY</w:t>
      </w:r>
    </w:p>
    <w:p w14:paraId="6EB6807F" w14:textId="77777777" w:rsidR="000A6F19" w:rsidRDefault="00D96008">
      <w:pPr>
        <w:spacing w:after="245"/>
        <w:ind w:left="395" w:right="385"/>
      </w:pPr>
      <w:r>
        <w:t>EDGAR ANTONIO CHEN BAC</w:t>
      </w:r>
    </w:p>
    <w:p w14:paraId="6A6C8856" w14:textId="77777777" w:rsidR="000A6F19" w:rsidRDefault="00D96008">
      <w:pPr>
        <w:ind w:left="410" w:right="0"/>
        <w:jc w:val="left"/>
      </w:pPr>
      <w:r>
        <w:t>Recomendaciones</w:t>
      </w:r>
    </w:p>
    <w:tbl>
      <w:tblPr>
        <w:tblStyle w:val="TableGrid"/>
        <w:tblW w:w="9420" w:type="dxa"/>
        <w:tblInd w:w="410" w:type="dxa"/>
        <w:tblCellMar>
          <w:top w:w="50" w:type="dxa"/>
          <w:left w:w="90" w:type="dxa"/>
          <w:right w:w="105" w:type="dxa"/>
        </w:tblCellMar>
        <w:tblLook w:val="04A0" w:firstRow="1" w:lastRow="0" w:firstColumn="1" w:lastColumn="0" w:noHBand="0" w:noVBand="1"/>
      </w:tblPr>
      <w:tblGrid>
        <w:gridCol w:w="1068"/>
        <w:gridCol w:w="6396"/>
        <w:gridCol w:w="1956"/>
      </w:tblGrid>
      <w:tr w:rsidR="000A6F19" w14:paraId="0F76EF02"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60B7435A" w14:textId="77777777" w:rsidR="000A6F19" w:rsidRDefault="00D96008">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719FB40D" w14:textId="77777777" w:rsidR="000A6F19" w:rsidRDefault="00D96008">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16CB4731" w14:textId="77777777" w:rsidR="000A6F19" w:rsidRDefault="00D96008">
            <w:pPr>
              <w:spacing w:after="0" w:line="259" w:lineRule="auto"/>
              <w:ind w:left="0" w:right="0" w:firstLine="0"/>
              <w:jc w:val="left"/>
            </w:pPr>
            <w:r>
              <w:rPr>
                <w:color w:val="444444"/>
              </w:rPr>
              <w:t>Fecha creación</w:t>
            </w:r>
          </w:p>
        </w:tc>
      </w:tr>
      <w:tr w:rsidR="000A6F19" w14:paraId="4C2A5826" w14:textId="77777777">
        <w:trPr>
          <w:trHeight w:val="1788"/>
        </w:trPr>
        <w:tc>
          <w:tcPr>
            <w:tcW w:w="1068" w:type="dxa"/>
            <w:tcBorders>
              <w:top w:val="single" w:sz="8" w:space="0" w:color="000000"/>
              <w:left w:val="single" w:sz="8" w:space="0" w:color="000000"/>
              <w:bottom w:val="single" w:sz="8" w:space="0" w:color="000000"/>
              <w:right w:val="single" w:sz="8" w:space="0" w:color="000000"/>
            </w:tcBorders>
          </w:tcPr>
          <w:p w14:paraId="60BBC8C9" w14:textId="77777777" w:rsidR="000A6F19" w:rsidRDefault="00D96008">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1F12B58B" w14:textId="77777777" w:rsidR="000A6F19" w:rsidRDefault="00D96008">
            <w:pPr>
              <w:spacing w:after="0" w:line="259" w:lineRule="auto"/>
              <w:ind w:left="0" w:right="0" w:firstLine="0"/>
              <w:jc w:val="left"/>
            </w:pPr>
            <w:r>
              <w:rPr>
                <w:color w:val="444444"/>
                <w:sz w:val="16"/>
              </w:rPr>
              <w:t xml:space="preserve">El presidente y representante legal de la Asociación Centro Don Bosco, gire </w:t>
            </w:r>
          </w:p>
          <w:p w14:paraId="2BCB45E7" w14:textId="77777777" w:rsidR="000A6F19" w:rsidRDefault="00D96008">
            <w:pPr>
              <w:spacing w:after="188" w:line="234" w:lineRule="auto"/>
              <w:ind w:left="0" w:right="0" w:firstLine="0"/>
              <w:jc w:val="left"/>
            </w:pPr>
            <w:r>
              <w:rPr>
                <w:color w:val="444444"/>
                <w:sz w:val="16"/>
              </w:rPr>
              <w:t xml:space="preserve">instrucciones por escrito al contador de la Asociación, para que por todas las compras de baja cuantía realice las publicaciones en el Sistema Guatecompras, dentro del plazo en ley establecido.  </w:t>
            </w:r>
          </w:p>
          <w:p w14:paraId="30456F6F" w14:textId="77777777" w:rsidR="000A6F19" w:rsidRDefault="00D96008">
            <w:pPr>
              <w:spacing w:after="0" w:line="259" w:lineRule="auto"/>
              <w:ind w:left="0" w:right="0" w:firstLine="0"/>
              <w:jc w:val="left"/>
            </w:pPr>
            <w:r>
              <w:rPr>
                <w:color w:val="444444"/>
                <w:sz w:val="16"/>
              </w:rPr>
              <w:t>Así mismo, el representante legal de la Asociación Centro Don Bosco, para fortalecer los procesos contables, analice la conveniencia que el Coordinador del Departamento de Apoyo Administrativo, realice supervisión a las actividades que realiza el contador de la Asociación.</w:t>
            </w:r>
          </w:p>
        </w:tc>
        <w:tc>
          <w:tcPr>
            <w:tcW w:w="1956" w:type="dxa"/>
            <w:tcBorders>
              <w:top w:val="single" w:sz="8" w:space="0" w:color="000000"/>
              <w:left w:val="single" w:sz="8" w:space="0" w:color="000000"/>
              <w:bottom w:val="single" w:sz="8" w:space="0" w:color="000000"/>
              <w:right w:val="single" w:sz="8" w:space="0" w:color="000000"/>
            </w:tcBorders>
          </w:tcPr>
          <w:p w14:paraId="72D0B7DC" w14:textId="77777777" w:rsidR="000A6F19" w:rsidRDefault="00D96008">
            <w:pPr>
              <w:spacing w:after="0" w:line="259" w:lineRule="auto"/>
              <w:ind w:left="0" w:right="0" w:firstLine="0"/>
              <w:jc w:val="left"/>
            </w:pPr>
            <w:r>
              <w:rPr>
                <w:color w:val="444444"/>
                <w:sz w:val="16"/>
              </w:rPr>
              <w:t>18/08/2022</w:t>
            </w:r>
          </w:p>
        </w:tc>
      </w:tr>
    </w:tbl>
    <w:p w14:paraId="0F8492EF" w14:textId="77777777" w:rsidR="00D44B6F" w:rsidRDefault="00D44B6F" w:rsidP="00D44B6F">
      <w:pPr>
        <w:pStyle w:val="Ttulo1"/>
        <w:numPr>
          <w:ilvl w:val="0"/>
          <w:numId w:val="0"/>
        </w:numPr>
        <w:ind w:left="258" w:right="385"/>
      </w:pPr>
      <w:bookmarkStart w:id="11" w:name="_Toc12527"/>
    </w:p>
    <w:p w14:paraId="6C05883A" w14:textId="77777777" w:rsidR="000A6F19" w:rsidRDefault="00D96008">
      <w:pPr>
        <w:pStyle w:val="Ttulo1"/>
        <w:ind w:left="258" w:right="385" w:hanging="258"/>
      </w:pPr>
      <w:r>
        <w:t>CONCLUSIÓN ESPECÍFICA</w:t>
      </w:r>
      <w:bookmarkEnd w:id="11"/>
    </w:p>
    <w:p w14:paraId="2B481C1F" w14:textId="77777777" w:rsidR="000A6F19" w:rsidRDefault="00D96008">
      <w:pPr>
        <w:spacing w:after="532"/>
        <w:ind w:left="610" w:right="800"/>
      </w:pPr>
      <w:r>
        <w:t xml:space="preserve">De acuerdo a los resultados obtenidos en relación al riesgo evaluado; que las asociaciones no cumplan con las obligaciones que quedaron estipuladas en las cláusulas del convenio, se concluye la existencia del riesgo objeto de la presente auditoría en la Asociación Centro Don Bosco, en la cual los responsables presentaron las pruebas de descargo correspondiente, determinando que dos deficiencias notificadas fueron desvanecidas y una se confirmó, siendo responsabilidad de la </w:t>
      </w:r>
      <w:r>
        <w:lastRenderedPageBreak/>
        <w:t>Dirección Departamental de Educación de Alta Verapaz y Asociación Centro Don Bosco, cumplir con las recomendaciones para cumplir con el riesgo mitigado.</w:t>
      </w:r>
    </w:p>
    <w:p w14:paraId="086B9F44" w14:textId="77777777" w:rsidR="000A6F19" w:rsidRDefault="00D96008">
      <w:pPr>
        <w:pStyle w:val="Ttulo1"/>
        <w:spacing w:after="527"/>
        <w:ind w:left="258" w:right="385" w:hanging="258"/>
      </w:pPr>
      <w:bookmarkStart w:id="12" w:name="_Toc12528"/>
      <w:r>
        <w:t>EQUIPO DE AUDITORÍA</w:t>
      </w:r>
      <w:bookmarkEnd w:id="12"/>
    </w:p>
    <w:p w14:paraId="23C9AA8D" w14:textId="77777777" w:rsidR="000A6F19" w:rsidRDefault="00D96008">
      <w:pPr>
        <w:tabs>
          <w:tab w:val="center" w:pos="7700"/>
        </w:tabs>
        <w:ind w:left="0" w:right="0" w:firstLine="0"/>
        <w:jc w:val="left"/>
      </w:pPr>
      <w:r>
        <w:t>F. ____________________________________________</w:t>
      </w:r>
      <w:r>
        <w:tab/>
        <w:t>F. ____________________________________________</w:t>
      </w:r>
    </w:p>
    <w:p w14:paraId="0AA0BB91" w14:textId="77777777" w:rsidR="000A6F19" w:rsidRDefault="00D96008">
      <w:pPr>
        <w:tabs>
          <w:tab w:val="center" w:pos="2470"/>
          <w:tab w:val="center" w:pos="7670"/>
        </w:tabs>
        <w:ind w:left="0" w:right="0" w:firstLine="0"/>
        <w:jc w:val="left"/>
      </w:pPr>
      <w:r>
        <w:rPr>
          <w:rFonts w:ascii="Calibri" w:eastAsia="Calibri" w:hAnsi="Calibri" w:cs="Calibri"/>
          <w:sz w:val="22"/>
        </w:rPr>
        <w:tab/>
      </w:r>
      <w:r>
        <w:t xml:space="preserve"> Mayra Iliana </w:t>
      </w:r>
      <w:r w:rsidR="00D44B6F">
        <w:t>Hernández</w:t>
      </w:r>
      <w:r>
        <w:t xml:space="preserve"> </w:t>
      </w:r>
      <w:r w:rsidR="00D44B6F">
        <w:t>López</w:t>
      </w:r>
      <w:r>
        <w:tab/>
        <w:t xml:space="preserve"> Nehemias Ruiz Ramirez</w:t>
      </w:r>
    </w:p>
    <w:p w14:paraId="53486312" w14:textId="77777777" w:rsidR="000A6F19" w:rsidRDefault="00D96008">
      <w:pPr>
        <w:tabs>
          <w:tab w:val="center" w:pos="1665"/>
          <w:tab w:val="center" w:pos="6865"/>
        </w:tabs>
        <w:spacing w:after="527"/>
        <w:ind w:left="0" w:right="0" w:firstLine="0"/>
        <w:jc w:val="left"/>
      </w:pPr>
      <w:r>
        <w:rPr>
          <w:rFonts w:ascii="Calibri" w:eastAsia="Calibri" w:hAnsi="Calibri" w:cs="Calibri"/>
          <w:sz w:val="22"/>
        </w:rPr>
        <w:tab/>
      </w:r>
      <w:r>
        <w:t xml:space="preserve">                            Supervisor</w:t>
      </w:r>
      <w:r>
        <w:tab/>
        <w:t xml:space="preserve">                            </w:t>
      </w:r>
      <w:r w:rsidR="00D44B6F">
        <w:t>Auditor, Coordinador</w:t>
      </w:r>
    </w:p>
    <w:p w14:paraId="1B0D88A0" w14:textId="77777777" w:rsidR="000A6F19" w:rsidRDefault="00D96008">
      <w:pPr>
        <w:pStyle w:val="Ttulo1"/>
        <w:numPr>
          <w:ilvl w:val="0"/>
          <w:numId w:val="0"/>
        </w:numPr>
        <w:spacing w:after="245"/>
        <w:ind w:right="385"/>
      </w:pPr>
      <w:bookmarkStart w:id="13" w:name="_Toc12529"/>
      <w:r>
        <w:t>ANEXO</w:t>
      </w:r>
      <w:bookmarkEnd w:id="13"/>
    </w:p>
    <w:p w14:paraId="713F28DB" w14:textId="77777777" w:rsidR="000A6F19" w:rsidRDefault="00D96008">
      <w:pPr>
        <w:ind w:left="395" w:right="385"/>
      </w:pPr>
      <w:r>
        <w:t xml:space="preserve">No. </w:t>
      </w:r>
      <w:r w:rsidR="00D44B6F">
        <w:t>1 Nombramiento</w:t>
      </w:r>
      <w:r>
        <w:t>.</w:t>
      </w:r>
    </w:p>
    <w:p w14:paraId="1F0F4562" w14:textId="77777777" w:rsidR="000A6F19" w:rsidRDefault="00D96008">
      <w:pPr>
        <w:ind w:left="395" w:right="0"/>
      </w:pPr>
      <w:r>
        <w:t xml:space="preserve">No. </w:t>
      </w:r>
      <w:r w:rsidR="00D44B6F">
        <w:t>2 Compras</w:t>
      </w:r>
      <w:r>
        <w:t xml:space="preserve"> realizadas bajo la modalidad de baja cuantía, publicadas en Guatecompras, con atraso de más de 5 días hábiles.</w:t>
      </w:r>
    </w:p>
    <w:p w14:paraId="27E582C4" w14:textId="77777777" w:rsidR="009D2EA5" w:rsidRDefault="009D2EA5">
      <w:pPr>
        <w:ind w:left="395" w:right="0"/>
      </w:pPr>
    </w:p>
    <w:p w14:paraId="2AD65B97" w14:textId="77777777" w:rsidR="009D2EA5" w:rsidRDefault="009D2EA5">
      <w:pPr>
        <w:ind w:left="395" w:right="0"/>
      </w:pPr>
    </w:p>
    <w:p w14:paraId="7C848725" w14:textId="77777777" w:rsidR="009D2EA5" w:rsidRDefault="009D2EA5">
      <w:pPr>
        <w:ind w:left="395" w:right="0"/>
      </w:pPr>
    </w:p>
    <w:p w14:paraId="034187BD" w14:textId="77777777" w:rsidR="009D2EA5" w:rsidRDefault="009D2EA5">
      <w:pPr>
        <w:ind w:left="395" w:right="0"/>
      </w:pPr>
    </w:p>
    <w:p w14:paraId="0401035A" w14:textId="77777777" w:rsidR="009D2EA5" w:rsidRDefault="009D2EA5">
      <w:pPr>
        <w:ind w:left="395" w:right="0"/>
      </w:pPr>
    </w:p>
    <w:p w14:paraId="35EA5530" w14:textId="77777777" w:rsidR="009D2EA5" w:rsidRDefault="009D2EA5">
      <w:pPr>
        <w:ind w:left="395" w:right="0"/>
      </w:pPr>
    </w:p>
    <w:p w14:paraId="79D2D376" w14:textId="77777777" w:rsidR="009D2EA5" w:rsidRDefault="009D2EA5">
      <w:pPr>
        <w:ind w:left="395" w:right="0"/>
      </w:pPr>
    </w:p>
    <w:p w14:paraId="28076043" w14:textId="77777777" w:rsidR="009D2EA5" w:rsidRDefault="009D2EA5">
      <w:pPr>
        <w:ind w:left="395" w:right="0"/>
      </w:pPr>
    </w:p>
    <w:p w14:paraId="3E04B0B3" w14:textId="77777777" w:rsidR="009D2EA5" w:rsidRDefault="009D2EA5">
      <w:pPr>
        <w:ind w:left="395" w:right="0"/>
      </w:pPr>
    </w:p>
    <w:p w14:paraId="54FB8C02" w14:textId="77777777" w:rsidR="009D2EA5" w:rsidRDefault="009D2EA5">
      <w:pPr>
        <w:ind w:left="395" w:right="0"/>
      </w:pPr>
    </w:p>
    <w:p w14:paraId="5136FF6B" w14:textId="77777777" w:rsidR="009D2EA5" w:rsidRDefault="009D2EA5">
      <w:pPr>
        <w:ind w:left="395" w:right="0"/>
      </w:pPr>
    </w:p>
    <w:p w14:paraId="45F18BC7" w14:textId="77777777" w:rsidR="009D2EA5" w:rsidRDefault="009D2EA5">
      <w:pPr>
        <w:ind w:left="395" w:right="0"/>
      </w:pPr>
    </w:p>
    <w:p w14:paraId="5E8C3E50" w14:textId="77777777" w:rsidR="009D2EA5" w:rsidRDefault="009D2EA5">
      <w:pPr>
        <w:ind w:left="395" w:right="0"/>
      </w:pPr>
    </w:p>
    <w:p w14:paraId="453F67EA" w14:textId="77777777" w:rsidR="009D2EA5" w:rsidRDefault="009D2EA5">
      <w:pPr>
        <w:ind w:left="395" w:right="0"/>
      </w:pPr>
    </w:p>
    <w:p w14:paraId="2C826895" w14:textId="77777777" w:rsidR="009D2EA5" w:rsidRDefault="009D2EA5">
      <w:pPr>
        <w:ind w:left="395" w:right="0"/>
      </w:pPr>
    </w:p>
    <w:p w14:paraId="21F2D72D" w14:textId="77777777" w:rsidR="009D2EA5" w:rsidRDefault="009D2EA5">
      <w:pPr>
        <w:ind w:left="395" w:right="0"/>
      </w:pPr>
    </w:p>
    <w:p w14:paraId="7C3591EA" w14:textId="77777777" w:rsidR="009D2EA5" w:rsidRDefault="009D2EA5">
      <w:pPr>
        <w:ind w:left="395" w:right="0"/>
      </w:pPr>
    </w:p>
    <w:p w14:paraId="2E2BC388" w14:textId="77777777" w:rsidR="009D2EA5" w:rsidRDefault="009D2EA5">
      <w:pPr>
        <w:ind w:left="395" w:right="0"/>
      </w:pPr>
    </w:p>
    <w:p w14:paraId="5FF90641" w14:textId="77777777" w:rsidR="009D2EA5" w:rsidRDefault="009D2EA5">
      <w:pPr>
        <w:ind w:left="395" w:right="0"/>
      </w:pPr>
    </w:p>
    <w:p w14:paraId="6F71E140" w14:textId="77777777" w:rsidR="009D2EA5" w:rsidRDefault="009D2EA5">
      <w:pPr>
        <w:ind w:left="395" w:right="0"/>
      </w:pPr>
    </w:p>
    <w:p w14:paraId="7EDB34D4" w14:textId="77777777" w:rsidR="009D2EA5" w:rsidRDefault="009D2EA5">
      <w:pPr>
        <w:ind w:left="395" w:right="0"/>
      </w:pPr>
    </w:p>
    <w:p w14:paraId="3A86AE77" w14:textId="77777777" w:rsidR="009D2EA5" w:rsidRDefault="009D2EA5">
      <w:pPr>
        <w:ind w:left="395" w:right="0"/>
      </w:pPr>
    </w:p>
    <w:p w14:paraId="5BDFD209" w14:textId="77777777" w:rsidR="009D2EA5" w:rsidRDefault="009D2EA5">
      <w:pPr>
        <w:ind w:left="395" w:right="0"/>
      </w:pPr>
    </w:p>
    <w:p w14:paraId="34899610" w14:textId="77777777" w:rsidR="009D2EA5" w:rsidRDefault="009D2EA5">
      <w:pPr>
        <w:ind w:left="395" w:right="0"/>
      </w:pPr>
    </w:p>
    <w:p w14:paraId="1D4EA1C8" w14:textId="77777777" w:rsidR="009D2EA5" w:rsidRDefault="009D2EA5" w:rsidP="009D2EA5">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lastRenderedPageBreak/>
        <w:t>Anexo No. 1</w:t>
      </w:r>
    </w:p>
    <w:p w14:paraId="6CA13172" w14:textId="77777777" w:rsidR="009D2EA5" w:rsidRDefault="009D2EA5" w:rsidP="009D2EA5">
      <w:pPr>
        <w:spacing w:after="0" w:line="240" w:lineRule="auto"/>
        <w:jc w:val="center"/>
        <w:rPr>
          <w:rFonts w:ascii="Arial" w:hAnsi="Arial" w:cs="Arial"/>
          <w:b/>
          <w:spacing w:val="9"/>
          <w:shd w:val="clear" w:color="auto" w:fill="FFFFFF"/>
        </w:rPr>
      </w:pPr>
    </w:p>
    <w:p w14:paraId="7EF2E0AA" w14:textId="77777777" w:rsidR="009D2EA5" w:rsidRPr="00B169C4" w:rsidRDefault="009D2EA5" w:rsidP="009D2EA5">
      <w:pPr>
        <w:spacing w:after="0" w:line="240" w:lineRule="auto"/>
        <w:jc w:val="center"/>
        <w:rPr>
          <w:rFonts w:ascii="Arial" w:hAnsi="Arial" w:cs="Arial"/>
          <w:b/>
        </w:rPr>
      </w:pPr>
      <w:r>
        <w:rPr>
          <w:rFonts w:ascii="Arial" w:hAnsi="Arial" w:cs="Arial"/>
          <w:b/>
        </w:rPr>
        <w:t>Asociación Centro Don Bosco</w:t>
      </w:r>
    </w:p>
    <w:p w14:paraId="46A1DC82" w14:textId="77777777" w:rsidR="009D2EA5" w:rsidRPr="00B169C4" w:rsidRDefault="009D2EA5" w:rsidP="009D2EA5">
      <w:pPr>
        <w:spacing w:after="0" w:line="240" w:lineRule="auto"/>
        <w:jc w:val="center"/>
        <w:rPr>
          <w:rFonts w:ascii="Arial" w:hAnsi="Arial" w:cs="Arial"/>
          <w:b/>
          <w:spacing w:val="9"/>
          <w:shd w:val="clear" w:color="auto" w:fill="FFFFFF"/>
        </w:rPr>
      </w:pPr>
      <w:r w:rsidRPr="00B169C4">
        <w:rPr>
          <w:rFonts w:ascii="Arial" w:hAnsi="Arial" w:cs="Arial"/>
          <w:b/>
        </w:rPr>
        <w:t>A</w:t>
      </w:r>
      <w:r w:rsidRPr="00B169C4">
        <w:rPr>
          <w:rFonts w:ascii="Arial" w:hAnsi="Arial" w:cs="Arial"/>
          <w:b/>
          <w:spacing w:val="9"/>
          <w:shd w:val="clear" w:color="auto" w:fill="FFFFFF"/>
        </w:rPr>
        <w:t xml:space="preserve">uditoria de cumplimiento </w:t>
      </w:r>
      <w:r>
        <w:rPr>
          <w:rFonts w:ascii="Arial" w:hAnsi="Arial" w:cs="Arial"/>
          <w:b/>
          <w:spacing w:val="9"/>
          <w:shd w:val="clear" w:color="auto" w:fill="FFFFFF"/>
        </w:rPr>
        <w:t>y financiera</w:t>
      </w:r>
    </w:p>
    <w:p w14:paraId="4A953FB7" w14:textId="77777777" w:rsidR="009D2EA5" w:rsidRDefault="009D2EA5" w:rsidP="009D2EA5">
      <w:pPr>
        <w:spacing w:after="0" w:line="240" w:lineRule="auto"/>
        <w:jc w:val="center"/>
        <w:rPr>
          <w:rFonts w:ascii="Arial" w:hAnsi="Arial" w:cs="Arial"/>
          <w:b/>
          <w:spacing w:val="9"/>
          <w:shd w:val="clear" w:color="auto" w:fill="FFFFFF"/>
        </w:rPr>
      </w:pPr>
      <w:r w:rsidRPr="00B169C4">
        <w:rPr>
          <w:rFonts w:ascii="Arial" w:hAnsi="Arial" w:cs="Arial"/>
          <w:b/>
          <w:spacing w:val="9"/>
          <w:shd w:val="clear" w:color="auto" w:fill="FFFFFF"/>
        </w:rPr>
        <w:t xml:space="preserve">Período del 1 de </w:t>
      </w:r>
      <w:r>
        <w:rPr>
          <w:rFonts w:ascii="Arial" w:hAnsi="Arial" w:cs="Arial"/>
          <w:b/>
          <w:spacing w:val="9"/>
          <w:shd w:val="clear" w:color="auto" w:fill="FFFFFF"/>
        </w:rPr>
        <w:t>enero al 31 de mayo</w:t>
      </w:r>
      <w:r w:rsidRPr="00B169C4">
        <w:rPr>
          <w:rFonts w:ascii="Arial" w:hAnsi="Arial" w:cs="Arial"/>
          <w:b/>
          <w:spacing w:val="9"/>
          <w:shd w:val="clear" w:color="auto" w:fill="FFFFFF"/>
        </w:rPr>
        <w:t xml:space="preserve"> de 202</w:t>
      </w:r>
      <w:r>
        <w:rPr>
          <w:rFonts w:ascii="Arial" w:hAnsi="Arial" w:cs="Arial"/>
          <w:b/>
          <w:spacing w:val="9"/>
          <w:shd w:val="clear" w:color="auto" w:fill="FFFFFF"/>
        </w:rPr>
        <w:t>2</w:t>
      </w:r>
    </w:p>
    <w:p w14:paraId="5ABA3D2D" w14:textId="77777777" w:rsidR="009D2EA5" w:rsidRDefault="009D2EA5" w:rsidP="009D2EA5">
      <w:pPr>
        <w:spacing w:after="0" w:line="240" w:lineRule="auto"/>
        <w:jc w:val="center"/>
        <w:rPr>
          <w:rFonts w:ascii="Arial" w:hAnsi="Arial" w:cs="Arial"/>
          <w:b/>
          <w:spacing w:val="9"/>
          <w:shd w:val="clear" w:color="auto" w:fill="FFFFFF"/>
        </w:rPr>
      </w:pPr>
    </w:p>
    <w:p w14:paraId="35C9BE31" w14:textId="77777777" w:rsidR="009D2EA5" w:rsidRDefault="009D2EA5" w:rsidP="009D2EA5">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Nombramiento</w:t>
      </w:r>
    </w:p>
    <w:p w14:paraId="17922549" w14:textId="77777777" w:rsidR="009D2EA5" w:rsidRDefault="009D2EA5" w:rsidP="009D2EA5">
      <w:pPr>
        <w:spacing w:after="0" w:line="240" w:lineRule="auto"/>
        <w:jc w:val="center"/>
        <w:rPr>
          <w:rFonts w:ascii="Arial" w:hAnsi="Arial" w:cs="Arial"/>
          <w:b/>
          <w:spacing w:val="9"/>
          <w:shd w:val="clear" w:color="auto" w:fill="FFFFFF"/>
        </w:rPr>
      </w:pPr>
    </w:p>
    <w:p w14:paraId="5CAD1FEF" w14:textId="77777777" w:rsidR="009D2EA5" w:rsidRDefault="009D2EA5" w:rsidP="009D2EA5">
      <w:pPr>
        <w:spacing w:after="0" w:line="240" w:lineRule="auto"/>
        <w:jc w:val="center"/>
        <w:rPr>
          <w:rFonts w:ascii="Arial" w:hAnsi="Arial" w:cs="Arial"/>
          <w:b/>
          <w:spacing w:val="9"/>
          <w:shd w:val="clear" w:color="auto" w:fill="FFFFFF"/>
        </w:rPr>
      </w:pPr>
      <w:r>
        <w:rPr>
          <w:noProof/>
        </w:rPr>
        <w:drawing>
          <wp:inline distT="0" distB="0" distL="0" distR="0" wp14:anchorId="01882A5B" wp14:editId="5FCD83B4">
            <wp:extent cx="5612130" cy="6423660"/>
            <wp:effectExtent l="0" t="0" r="7620"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a:blip r:embed="rId8"/>
                    <a:stretch>
                      <a:fillRect/>
                    </a:stretch>
                  </pic:blipFill>
                  <pic:spPr>
                    <a:xfrm>
                      <a:off x="0" y="0"/>
                      <a:ext cx="5612130" cy="6423660"/>
                    </a:xfrm>
                    <a:prstGeom prst="rect">
                      <a:avLst/>
                    </a:prstGeom>
                  </pic:spPr>
                </pic:pic>
              </a:graphicData>
            </a:graphic>
          </wp:inline>
        </w:drawing>
      </w:r>
    </w:p>
    <w:p w14:paraId="78AEF96D" w14:textId="77777777" w:rsidR="009D2EA5" w:rsidRDefault="009D2EA5" w:rsidP="009D2EA5">
      <w:pPr>
        <w:spacing w:after="0" w:line="240" w:lineRule="auto"/>
        <w:jc w:val="center"/>
        <w:rPr>
          <w:rFonts w:ascii="Arial" w:hAnsi="Arial" w:cs="Arial"/>
          <w:b/>
          <w:spacing w:val="9"/>
          <w:shd w:val="clear" w:color="auto" w:fill="FFFFFF"/>
        </w:rPr>
      </w:pPr>
    </w:p>
    <w:p w14:paraId="6BA3B020" w14:textId="77777777" w:rsidR="009D2EA5" w:rsidRDefault="009D2EA5" w:rsidP="009D2EA5">
      <w:pPr>
        <w:spacing w:after="0" w:line="240" w:lineRule="auto"/>
        <w:jc w:val="center"/>
        <w:rPr>
          <w:rFonts w:ascii="Arial" w:hAnsi="Arial" w:cs="Arial"/>
          <w:b/>
          <w:spacing w:val="9"/>
          <w:shd w:val="clear" w:color="auto" w:fill="FFFFFF"/>
        </w:rPr>
      </w:pPr>
    </w:p>
    <w:p w14:paraId="01A89A43" w14:textId="77777777" w:rsidR="009D2EA5" w:rsidRDefault="009D2EA5" w:rsidP="009D2EA5">
      <w:pPr>
        <w:spacing w:after="0" w:line="240" w:lineRule="auto"/>
        <w:jc w:val="center"/>
        <w:rPr>
          <w:rFonts w:ascii="Arial" w:hAnsi="Arial" w:cs="Arial"/>
          <w:b/>
          <w:spacing w:val="9"/>
          <w:shd w:val="clear" w:color="auto" w:fill="FFFFFF"/>
        </w:rPr>
      </w:pPr>
    </w:p>
    <w:p w14:paraId="3C32BFB3" w14:textId="77777777" w:rsidR="009D2EA5" w:rsidRDefault="009D2EA5" w:rsidP="009D2EA5">
      <w:pPr>
        <w:spacing w:after="0" w:line="240" w:lineRule="auto"/>
        <w:jc w:val="center"/>
        <w:rPr>
          <w:rFonts w:ascii="Arial" w:hAnsi="Arial" w:cs="Arial"/>
          <w:b/>
          <w:spacing w:val="9"/>
          <w:shd w:val="clear" w:color="auto" w:fill="FFFFFF"/>
        </w:rPr>
      </w:pPr>
      <w:r>
        <w:rPr>
          <w:rFonts w:ascii="Arial" w:hAnsi="Arial" w:cs="Arial"/>
          <w:b/>
          <w:spacing w:val="9"/>
          <w:shd w:val="clear" w:color="auto" w:fill="FFFFFF"/>
        </w:rPr>
        <w:t>Anexo No. 2</w:t>
      </w:r>
    </w:p>
    <w:p w14:paraId="01F11B30" w14:textId="77777777" w:rsidR="009D2EA5" w:rsidRDefault="009D2EA5" w:rsidP="009D2EA5">
      <w:pPr>
        <w:spacing w:after="0" w:line="240" w:lineRule="auto"/>
        <w:jc w:val="center"/>
        <w:rPr>
          <w:rFonts w:ascii="Arial" w:hAnsi="Arial" w:cs="Arial"/>
          <w:b/>
          <w:spacing w:val="9"/>
          <w:shd w:val="clear" w:color="auto" w:fill="FFFFFF"/>
        </w:rPr>
      </w:pPr>
    </w:p>
    <w:p w14:paraId="19ACA142" w14:textId="77777777" w:rsidR="009D2EA5" w:rsidRDefault="009D2EA5" w:rsidP="009D2EA5">
      <w:r w:rsidRPr="00B16637">
        <w:t>Compras realizadas bajo</w:t>
      </w:r>
      <w:r>
        <w:t xml:space="preserve"> la modalidad de baja cuantía, </w:t>
      </w:r>
      <w:r w:rsidRPr="00B16637">
        <w:t xml:space="preserve">publicadas en Guatecompras, </w:t>
      </w:r>
      <w:r>
        <w:t xml:space="preserve">con atraso de más de 5 días hábiles </w:t>
      </w:r>
      <w:r w:rsidRPr="00B16637">
        <w:t xml:space="preserve">después del plazo según Artículo </w:t>
      </w:r>
      <w:r>
        <w:t>13</w:t>
      </w:r>
      <w:r w:rsidRPr="00B16637">
        <w:t xml:space="preserve"> del Acuerdo </w:t>
      </w:r>
      <w:r>
        <w:t xml:space="preserve">Gubernativo </w:t>
      </w:r>
      <w:r w:rsidRPr="00B16637">
        <w:t>No. 147-2021</w:t>
      </w:r>
      <w:r>
        <w:t xml:space="preserve">, que reforma el Artículo 26 del </w:t>
      </w:r>
      <w:r w:rsidRPr="00B16637">
        <w:t>Acuerdo Gubernativo No. 122-2016. Reglamento d</w:t>
      </w:r>
      <w:r>
        <w:t>e la Ley de Contrataciones del E</w:t>
      </w:r>
      <w:r w:rsidRPr="00B16637">
        <w:t>stado</w:t>
      </w:r>
      <w:r>
        <w:t xml:space="preserve">. </w:t>
      </w:r>
      <w:r w:rsidRPr="00B16637">
        <w:t xml:space="preserve"> </w:t>
      </w:r>
    </w:p>
    <w:p w14:paraId="0EB329E3" w14:textId="77777777" w:rsidR="009D2EA5" w:rsidRDefault="009D2EA5" w:rsidP="009D2EA5"/>
    <w:tbl>
      <w:tblPr>
        <w:tblW w:w="8946" w:type="dxa"/>
        <w:tblInd w:w="132" w:type="dxa"/>
        <w:tblCellMar>
          <w:left w:w="70" w:type="dxa"/>
          <w:right w:w="70" w:type="dxa"/>
        </w:tblCellMar>
        <w:tblLook w:val="04A0" w:firstRow="1" w:lastRow="0" w:firstColumn="1" w:lastColumn="0" w:noHBand="0" w:noVBand="1"/>
      </w:tblPr>
      <w:tblGrid>
        <w:gridCol w:w="791"/>
        <w:gridCol w:w="1338"/>
        <w:gridCol w:w="1631"/>
        <w:gridCol w:w="1263"/>
        <w:gridCol w:w="1292"/>
        <w:gridCol w:w="1491"/>
        <w:gridCol w:w="1491"/>
        <w:gridCol w:w="1191"/>
      </w:tblGrid>
      <w:tr w:rsidR="009D2EA5" w:rsidRPr="003604BA" w14:paraId="02A6430C" w14:textId="77777777" w:rsidTr="00747B2C">
        <w:trPr>
          <w:trHeight w:val="902"/>
        </w:trPr>
        <w:tc>
          <w:tcPr>
            <w:tcW w:w="51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A5AA9D5" w14:textId="77777777" w:rsidR="009D2EA5" w:rsidRPr="003604BA" w:rsidRDefault="009D2EA5" w:rsidP="00747B2C">
            <w:pPr>
              <w:jc w:val="center"/>
              <w:rPr>
                <w:rFonts w:eastAsia="Times New Roman" w:cs="Calibri"/>
                <w:b/>
                <w:bCs/>
                <w:sz w:val="20"/>
                <w:szCs w:val="20"/>
              </w:rPr>
            </w:pPr>
            <w:r w:rsidRPr="003604BA">
              <w:rPr>
                <w:rFonts w:eastAsia="Times New Roman" w:cs="Calibri"/>
                <w:b/>
                <w:bCs/>
                <w:sz w:val="20"/>
                <w:szCs w:val="20"/>
              </w:rPr>
              <w:t>No.</w:t>
            </w:r>
          </w:p>
        </w:tc>
        <w:tc>
          <w:tcPr>
            <w:tcW w:w="959" w:type="dxa"/>
            <w:tcBorders>
              <w:top w:val="single" w:sz="8" w:space="0" w:color="auto"/>
              <w:left w:val="nil"/>
              <w:bottom w:val="single" w:sz="8" w:space="0" w:color="auto"/>
              <w:right w:val="single" w:sz="8" w:space="0" w:color="auto"/>
            </w:tcBorders>
            <w:shd w:val="clear" w:color="000000" w:fill="BFBFBF"/>
            <w:noWrap/>
            <w:vAlign w:val="center"/>
            <w:hideMark/>
          </w:tcPr>
          <w:p w14:paraId="533204FA" w14:textId="77777777" w:rsidR="009D2EA5" w:rsidRPr="003604BA" w:rsidRDefault="009D2EA5" w:rsidP="00747B2C">
            <w:pPr>
              <w:jc w:val="center"/>
              <w:rPr>
                <w:rFonts w:eastAsia="Times New Roman" w:cs="Calibri"/>
                <w:b/>
                <w:bCs/>
                <w:sz w:val="20"/>
                <w:szCs w:val="20"/>
              </w:rPr>
            </w:pPr>
            <w:r w:rsidRPr="003604BA">
              <w:rPr>
                <w:rFonts w:eastAsia="Times New Roman" w:cs="Calibri"/>
                <w:b/>
                <w:bCs/>
                <w:sz w:val="20"/>
                <w:szCs w:val="20"/>
              </w:rPr>
              <w:t>NPG</w:t>
            </w:r>
          </w:p>
        </w:tc>
        <w:tc>
          <w:tcPr>
            <w:tcW w:w="1736" w:type="dxa"/>
            <w:tcBorders>
              <w:top w:val="single" w:sz="8" w:space="0" w:color="auto"/>
              <w:left w:val="nil"/>
              <w:bottom w:val="single" w:sz="8" w:space="0" w:color="auto"/>
              <w:right w:val="single" w:sz="8" w:space="0" w:color="auto"/>
            </w:tcBorders>
            <w:shd w:val="clear" w:color="000000" w:fill="BFBFBF"/>
            <w:noWrap/>
            <w:vAlign w:val="center"/>
            <w:hideMark/>
          </w:tcPr>
          <w:p w14:paraId="40F5D84A" w14:textId="77777777" w:rsidR="009D2EA5" w:rsidRPr="003604BA" w:rsidRDefault="009D2EA5" w:rsidP="00747B2C">
            <w:pPr>
              <w:jc w:val="center"/>
              <w:rPr>
                <w:rFonts w:eastAsia="Times New Roman" w:cs="Calibri"/>
                <w:b/>
                <w:bCs/>
                <w:sz w:val="20"/>
                <w:szCs w:val="20"/>
              </w:rPr>
            </w:pPr>
            <w:r w:rsidRPr="003604BA">
              <w:rPr>
                <w:rFonts w:eastAsia="Times New Roman" w:cs="Calibri"/>
                <w:b/>
                <w:bCs/>
                <w:sz w:val="20"/>
                <w:szCs w:val="20"/>
              </w:rPr>
              <w:t>Descripción</w:t>
            </w:r>
          </w:p>
        </w:tc>
        <w:tc>
          <w:tcPr>
            <w:tcW w:w="1049" w:type="dxa"/>
            <w:tcBorders>
              <w:top w:val="single" w:sz="8" w:space="0" w:color="auto"/>
              <w:left w:val="nil"/>
              <w:bottom w:val="single" w:sz="8" w:space="0" w:color="auto"/>
              <w:right w:val="single" w:sz="8" w:space="0" w:color="auto"/>
            </w:tcBorders>
            <w:shd w:val="clear" w:color="000000" w:fill="BFBFBF"/>
            <w:noWrap/>
            <w:vAlign w:val="center"/>
            <w:hideMark/>
          </w:tcPr>
          <w:p w14:paraId="3277772F" w14:textId="77777777" w:rsidR="009D2EA5" w:rsidRPr="003604BA" w:rsidRDefault="009D2EA5" w:rsidP="00747B2C">
            <w:pPr>
              <w:jc w:val="center"/>
              <w:rPr>
                <w:rFonts w:eastAsia="Times New Roman" w:cs="Calibri"/>
                <w:b/>
                <w:bCs/>
                <w:sz w:val="20"/>
                <w:szCs w:val="20"/>
              </w:rPr>
            </w:pPr>
            <w:r w:rsidRPr="003604BA">
              <w:rPr>
                <w:rFonts w:eastAsia="Times New Roman" w:cs="Calibri"/>
                <w:b/>
                <w:bCs/>
                <w:sz w:val="20"/>
                <w:szCs w:val="20"/>
              </w:rPr>
              <w:t>Valor Q.</w:t>
            </w:r>
          </w:p>
        </w:tc>
        <w:tc>
          <w:tcPr>
            <w:tcW w:w="1338" w:type="dxa"/>
            <w:tcBorders>
              <w:top w:val="single" w:sz="8" w:space="0" w:color="auto"/>
              <w:left w:val="nil"/>
              <w:bottom w:val="single" w:sz="8" w:space="0" w:color="auto"/>
              <w:right w:val="single" w:sz="8" w:space="0" w:color="auto"/>
            </w:tcBorders>
            <w:shd w:val="clear" w:color="000000" w:fill="BFBFBF"/>
            <w:vAlign w:val="center"/>
            <w:hideMark/>
          </w:tcPr>
          <w:p w14:paraId="2C2419EC" w14:textId="77777777" w:rsidR="009D2EA5" w:rsidRPr="003604BA" w:rsidRDefault="009D2EA5" w:rsidP="00747B2C">
            <w:pPr>
              <w:jc w:val="center"/>
              <w:rPr>
                <w:rFonts w:eastAsia="Times New Roman" w:cs="Calibri"/>
                <w:b/>
                <w:bCs/>
                <w:sz w:val="20"/>
                <w:szCs w:val="20"/>
              </w:rPr>
            </w:pPr>
            <w:r w:rsidRPr="003604BA">
              <w:rPr>
                <w:rFonts w:eastAsia="Times New Roman" w:cs="Calibri"/>
                <w:b/>
                <w:bCs/>
                <w:sz w:val="20"/>
                <w:szCs w:val="20"/>
              </w:rPr>
              <w:t>Fecha de factura</w:t>
            </w:r>
          </w:p>
        </w:tc>
        <w:tc>
          <w:tcPr>
            <w:tcW w:w="1125" w:type="dxa"/>
            <w:tcBorders>
              <w:top w:val="single" w:sz="8" w:space="0" w:color="auto"/>
              <w:left w:val="nil"/>
              <w:bottom w:val="single" w:sz="8" w:space="0" w:color="auto"/>
              <w:right w:val="single" w:sz="8" w:space="0" w:color="auto"/>
            </w:tcBorders>
            <w:shd w:val="clear" w:color="000000" w:fill="BFBFBF"/>
            <w:vAlign w:val="center"/>
            <w:hideMark/>
          </w:tcPr>
          <w:p w14:paraId="00033008" w14:textId="77777777" w:rsidR="009D2EA5" w:rsidRPr="003604BA" w:rsidRDefault="009D2EA5" w:rsidP="00747B2C">
            <w:pPr>
              <w:jc w:val="center"/>
              <w:rPr>
                <w:rFonts w:eastAsia="Times New Roman" w:cs="Calibri"/>
                <w:b/>
                <w:bCs/>
                <w:sz w:val="16"/>
                <w:szCs w:val="16"/>
              </w:rPr>
            </w:pPr>
            <w:r w:rsidRPr="003604BA">
              <w:rPr>
                <w:rFonts w:eastAsia="Times New Roman" w:cs="Calibri"/>
                <w:b/>
                <w:bCs/>
                <w:sz w:val="16"/>
                <w:szCs w:val="16"/>
              </w:rPr>
              <w:t>Fecha máxima para la publicación en Guatecompras</w:t>
            </w:r>
          </w:p>
        </w:tc>
        <w:tc>
          <w:tcPr>
            <w:tcW w:w="1125" w:type="dxa"/>
            <w:tcBorders>
              <w:top w:val="single" w:sz="8" w:space="0" w:color="auto"/>
              <w:left w:val="nil"/>
              <w:bottom w:val="single" w:sz="8" w:space="0" w:color="auto"/>
              <w:right w:val="single" w:sz="8" w:space="0" w:color="auto"/>
            </w:tcBorders>
            <w:shd w:val="clear" w:color="000000" w:fill="BFBFBF"/>
            <w:vAlign w:val="center"/>
            <w:hideMark/>
          </w:tcPr>
          <w:p w14:paraId="1556465A" w14:textId="77777777" w:rsidR="009D2EA5" w:rsidRPr="003604BA" w:rsidRDefault="009D2EA5" w:rsidP="00747B2C">
            <w:pPr>
              <w:jc w:val="center"/>
              <w:rPr>
                <w:rFonts w:eastAsia="Times New Roman" w:cs="Calibri"/>
                <w:b/>
                <w:bCs/>
                <w:sz w:val="16"/>
                <w:szCs w:val="16"/>
              </w:rPr>
            </w:pPr>
            <w:r w:rsidRPr="003604BA">
              <w:rPr>
                <w:rFonts w:eastAsia="Times New Roman" w:cs="Calibri"/>
                <w:b/>
                <w:bCs/>
                <w:sz w:val="16"/>
                <w:szCs w:val="16"/>
              </w:rPr>
              <w:t>Fecha de publicación en Guatecompras</w:t>
            </w:r>
          </w:p>
        </w:tc>
        <w:tc>
          <w:tcPr>
            <w:tcW w:w="1096" w:type="dxa"/>
            <w:tcBorders>
              <w:top w:val="single" w:sz="8" w:space="0" w:color="auto"/>
              <w:left w:val="nil"/>
              <w:bottom w:val="single" w:sz="8" w:space="0" w:color="auto"/>
              <w:right w:val="single" w:sz="8" w:space="0" w:color="auto"/>
            </w:tcBorders>
            <w:shd w:val="clear" w:color="000000" w:fill="BFBFBF"/>
            <w:noWrap/>
            <w:vAlign w:val="center"/>
            <w:hideMark/>
          </w:tcPr>
          <w:p w14:paraId="29D59AF4" w14:textId="77777777" w:rsidR="009D2EA5" w:rsidRPr="003604BA" w:rsidRDefault="009D2EA5" w:rsidP="00747B2C">
            <w:pPr>
              <w:jc w:val="center"/>
              <w:rPr>
                <w:rFonts w:eastAsia="Times New Roman" w:cs="Calibri"/>
                <w:b/>
                <w:bCs/>
                <w:sz w:val="20"/>
                <w:szCs w:val="20"/>
              </w:rPr>
            </w:pPr>
            <w:r w:rsidRPr="003604BA">
              <w:rPr>
                <w:rFonts w:eastAsia="Times New Roman" w:cs="Calibri"/>
                <w:b/>
                <w:bCs/>
                <w:sz w:val="20"/>
                <w:szCs w:val="20"/>
              </w:rPr>
              <w:t>Cheque. No.</w:t>
            </w:r>
          </w:p>
        </w:tc>
      </w:tr>
      <w:tr w:rsidR="009D2EA5" w:rsidRPr="003604BA" w14:paraId="0725E8AD" w14:textId="77777777" w:rsidTr="00747B2C">
        <w:trPr>
          <w:trHeight w:val="433"/>
        </w:trPr>
        <w:tc>
          <w:tcPr>
            <w:tcW w:w="518" w:type="dxa"/>
            <w:tcBorders>
              <w:top w:val="nil"/>
              <w:left w:val="single" w:sz="8" w:space="0" w:color="auto"/>
              <w:bottom w:val="single" w:sz="8" w:space="0" w:color="auto"/>
              <w:right w:val="single" w:sz="8" w:space="0" w:color="auto"/>
            </w:tcBorders>
            <w:shd w:val="clear" w:color="auto" w:fill="auto"/>
            <w:noWrap/>
            <w:vAlign w:val="center"/>
            <w:hideMark/>
          </w:tcPr>
          <w:p w14:paraId="3F66C843"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w:t>
            </w:r>
          </w:p>
        </w:tc>
        <w:tc>
          <w:tcPr>
            <w:tcW w:w="959" w:type="dxa"/>
            <w:tcBorders>
              <w:top w:val="nil"/>
              <w:left w:val="nil"/>
              <w:bottom w:val="single" w:sz="8" w:space="0" w:color="auto"/>
              <w:right w:val="single" w:sz="8" w:space="0" w:color="auto"/>
            </w:tcBorders>
            <w:shd w:val="clear" w:color="auto" w:fill="auto"/>
            <w:vAlign w:val="center"/>
            <w:hideMark/>
          </w:tcPr>
          <w:p w14:paraId="651D8A91" w14:textId="77777777" w:rsidR="009D2EA5" w:rsidRPr="003604BA" w:rsidRDefault="009D2EA5" w:rsidP="00747B2C">
            <w:pPr>
              <w:rPr>
                <w:rFonts w:eastAsia="Times New Roman" w:cs="Calibri"/>
                <w:sz w:val="16"/>
                <w:szCs w:val="16"/>
              </w:rPr>
            </w:pPr>
            <w:r w:rsidRPr="003604BA">
              <w:rPr>
                <w:rFonts w:eastAsia="Times New Roman" w:cs="Calibri"/>
                <w:sz w:val="16"/>
                <w:szCs w:val="16"/>
              </w:rPr>
              <w:t>E505333465</w:t>
            </w:r>
          </w:p>
        </w:tc>
        <w:tc>
          <w:tcPr>
            <w:tcW w:w="1736" w:type="dxa"/>
            <w:tcBorders>
              <w:top w:val="nil"/>
              <w:left w:val="nil"/>
              <w:bottom w:val="single" w:sz="8" w:space="0" w:color="auto"/>
              <w:right w:val="single" w:sz="8" w:space="0" w:color="auto"/>
            </w:tcBorders>
            <w:shd w:val="clear" w:color="auto" w:fill="auto"/>
            <w:vAlign w:val="center"/>
            <w:hideMark/>
          </w:tcPr>
          <w:p w14:paraId="3959DC21" w14:textId="77777777" w:rsidR="009D2EA5" w:rsidRPr="003604BA" w:rsidRDefault="009D2EA5" w:rsidP="00747B2C">
            <w:pPr>
              <w:rPr>
                <w:rFonts w:eastAsia="Times New Roman" w:cs="Calibri"/>
                <w:sz w:val="16"/>
                <w:szCs w:val="16"/>
              </w:rPr>
            </w:pPr>
            <w:r w:rsidRPr="003604BA">
              <w:rPr>
                <w:rFonts w:eastAsia="Times New Roman" w:cs="Calibri"/>
                <w:sz w:val="16"/>
                <w:szCs w:val="16"/>
              </w:rPr>
              <w:t>Compra de insumos de alimentación.</w:t>
            </w:r>
          </w:p>
        </w:tc>
        <w:tc>
          <w:tcPr>
            <w:tcW w:w="1049" w:type="dxa"/>
            <w:tcBorders>
              <w:top w:val="nil"/>
              <w:left w:val="nil"/>
              <w:bottom w:val="single" w:sz="8" w:space="0" w:color="auto"/>
              <w:right w:val="single" w:sz="8" w:space="0" w:color="auto"/>
            </w:tcBorders>
            <w:shd w:val="clear" w:color="auto" w:fill="auto"/>
            <w:noWrap/>
            <w:vAlign w:val="center"/>
            <w:hideMark/>
          </w:tcPr>
          <w:p w14:paraId="475EB6B4"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24,898.00</w:t>
            </w:r>
          </w:p>
        </w:tc>
        <w:tc>
          <w:tcPr>
            <w:tcW w:w="1338" w:type="dxa"/>
            <w:tcBorders>
              <w:top w:val="nil"/>
              <w:left w:val="nil"/>
              <w:bottom w:val="single" w:sz="8" w:space="0" w:color="auto"/>
              <w:right w:val="single" w:sz="8" w:space="0" w:color="auto"/>
            </w:tcBorders>
            <w:shd w:val="clear" w:color="auto" w:fill="auto"/>
            <w:noWrap/>
            <w:vAlign w:val="center"/>
            <w:hideMark/>
          </w:tcPr>
          <w:p w14:paraId="1793F3A1"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16/05/2022</w:t>
            </w:r>
          </w:p>
        </w:tc>
        <w:tc>
          <w:tcPr>
            <w:tcW w:w="1125" w:type="dxa"/>
            <w:tcBorders>
              <w:top w:val="nil"/>
              <w:left w:val="nil"/>
              <w:bottom w:val="single" w:sz="8" w:space="0" w:color="auto"/>
              <w:right w:val="single" w:sz="8" w:space="0" w:color="auto"/>
            </w:tcBorders>
            <w:shd w:val="clear" w:color="auto" w:fill="auto"/>
            <w:noWrap/>
            <w:vAlign w:val="center"/>
            <w:hideMark/>
          </w:tcPr>
          <w:p w14:paraId="21F631F8"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23/05/2022</w:t>
            </w:r>
          </w:p>
        </w:tc>
        <w:tc>
          <w:tcPr>
            <w:tcW w:w="1125" w:type="dxa"/>
            <w:tcBorders>
              <w:top w:val="nil"/>
              <w:left w:val="nil"/>
              <w:bottom w:val="single" w:sz="8" w:space="0" w:color="auto"/>
              <w:right w:val="single" w:sz="8" w:space="0" w:color="auto"/>
            </w:tcBorders>
            <w:shd w:val="clear" w:color="auto" w:fill="auto"/>
            <w:noWrap/>
            <w:vAlign w:val="center"/>
            <w:hideMark/>
          </w:tcPr>
          <w:p w14:paraId="7CE7BFB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31/05/2022</w:t>
            </w:r>
          </w:p>
        </w:tc>
        <w:tc>
          <w:tcPr>
            <w:tcW w:w="1096" w:type="dxa"/>
            <w:tcBorders>
              <w:top w:val="nil"/>
              <w:left w:val="nil"/>
              <w:bottom w:val="single" w:sz="8" w:space="0" w:color="auto"/>
              <w:right w:val="single" w:sz="8" w:space="0" w:color="auto"/>
            </w:tcBorders>
            <w:shd w:val="clear" w:color="auto" w:fill="auto"/>
            <w:noWrap/>
            <w:vAlign w:val="center"/>
            <w:hideMark/>
          </w:tcPr>
          <w:p w14:paraId="61B2103D"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27656</w:t>
            </w:r>
          </w:p>
        </w:tc>
      </w:tr>
      <w:tr w:rsidR="009D2EA5" w:rsidRPr="003604BA" w14:paraId="43D2ADD0" w14:textId="77777777" w:rsidTr="00747B2C">
        <w:trPr>
          <w:trHeight w:val="539"/>
        </w:trPr>
        <w:tc>
          <w:tcPr>
            <w:tcW w:w="518" w:type="dxa"/>
            <w:tcBorders>
              <w:top w:val="nil"/>
              <w:left w:val="single" w:sz="8" w:space="0" w:color="auto"/>
              <w:bottom w:val="single" w:sz="8" w:space="0" w:color="auto"/>
              <w:right w:val="single" w:sz="8" w:space="0" w:color="auto"/>
            </w:tcBorders>
            <w:shd w:val="clear" w:color="auto" w:fill="auto"/>
            <w:noWrap/>
            <w:vAlign w:val="center"/>
            <w:hideMark/>
          </w:tcPr>
          <w:p w14:paraId="545BF9A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w:t>
            </w:r>
          </w:p>
        </w:tc>
        <w:tc>
          <w:tcPr>
            <w:tcW w:w="959" w:type="dxa"/>
            <w:tcBorders>
              <w:top w:val="nil"/>
              <w:left w:val="nil"/>
              <w:bottom w:val="single" w:sz="8" w:space="0" w:color="auto"/>
              <w:right w:val="single" w:sz="8" w:space="0" w:color="auto"/>
            </w:tcBorders>
            <w:shd w:val="clear" w:color="auto" w:fill="auto"/>
            <w:vAlign w:val="center"/>
            <w:hideMark/>
          </w:tcPr>
          <w:p w14:paraId="67848BF3" w14:textId="77777777" w:rsidR="009D2EA5" w:rsidRPr="003604BA" w:rsidRDefault="009D2EA5" w:rsidP="00747B2C">
            <w:pPr>
              <w:rPr>
                <w:rFonts w:eastAsia="Times New Roman" w:cs="Calibri"/>
                <w:sz w:val="16"/>
                <w:szCs w:val="16"/>
              </w:rPr>
            </w:pPr>
            <w:r w:rsidRPr="003604BA">
              <w:rPr>
                <w:rFonts w:eastAsia="Times New Roman" w:cs="Calibri"/>
                <w:sz w:val="16"/>
                <w:szCs w:val="16"/>
              </w:rPr>
              <w:t>E505332604</w:t>
            </w:r>
          </w:p>
        </w:tc>
        <w:tc>
          <w:tcPr>
            <w:tcW w:w="1736" w:type="dxa"/>
            <w:tcBorders>
              <w:top w:val="nil"/>
              <w:left w:val="nil"/>
              <w:bottom w:val="single" w:sz="8" w:space="0" w:color="auto"/>
              <w:right w:val="single" w:sz="8" w:space="0" w:color="auto"/>
            </w:tcBorders>
            <w:shd w:val="clear" w:color="auto" w:fill="auto"/>
            <w:vAlign w:val="center"/>
            <w:hideMark/>
          </w:tcPr>
          <w:p w14:paraId="62F9C9C8" w14:textId="77777777" w:rsidR="009D2EA5" w:rsidRPr="003604BA" w:rsidRDefault="009D2EA5" w:rsidP="00747B2C">
            <w:pPr>
              <w:rPr>
                <w:rFonts w:eastAsia="Times New Roman" w:cs="Calibri"/>
                <w:sz w:val="16"/>
                <w:szCs w:val="16"/>
              </w:rPr>
            </w:pPr>
            <w:r w:rsidRPr="003604BA">
              <w:rPr>
                <w:rFonts w:eastAsia="Times New Roman" w:cs="Calibri"/>
                <w:sz w:val="16"/>
                <w:szCs w:val="16"/>
              </w:rPr>
              <w:t>Compra de insumos de alimentación.</w:t>
            </w:r>
          </w:p>
        </w:tc>
        <w:tc>
          <w:tcPr>
            <w:tcW w:w="1049" w:type="dxa"/>
            <w:tcBorders>
              <w:top w:val="nil"/>
              <w:left w:val="nil"/>
              <w:bottom w:val="single" w:sz="8" w:space="0" w:color="auto"/>
              <w:right w:val="single" w:sz="8" w:space="0" w:color="auto"/>
            </w:tcBorders>
            <w:shd w:val="clear" w:color="auto" w:fill="auto"/>
            <w:noWrap/>
            <w:vAlign w:val="center"/>
            <w:hideMark/>
          </w:tcPr>
          <w:p w14:paraId="23BEFC10"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24,915.75</w:t>
            </w:r>
          </w:p>
        </w:tc>
        <w:tc>
          <w:tcPr>
            <w:tcW w:w="1338" w:type="dxa"/>
            <w:tcBorders>
              <w:top w:val="nil"/>
              <w:left w:val="nil"/>
              <w:bottom w:val="single" w:sz="8" w:space="0" w:color="auto"/>
              <w:right w:val="single" w:sz="8" w:space="0" w:color="auto"/>
            </w:tcBorders>
            <w:shd w:val="clear" w:color="auto" w:fill="auto"/>
            <w:noWrap/>
            <w:vAlign w:val="center"/>
            <w:hideMark/>
          </w:tcPr>
          <w:p w14:paraId="70D8B5B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16/05/2022</w:t>
            </w:r>
          </w:p>
        </w:tc>
        <w:tc>
          <w:tcPr>
            <w:tcW w:w="1125" w:type="dxa"/>
            <w:tcBorders>
              <w:top w:val="nil"/>
              <w:left w:val="nil"/>
              <w:bottom w:val="single" w:sz="8" w:space="0" w:color="auto"/>
              <w:right w:val="single" w:sz="8" w:space="0" w:color="auto"/>
            </w:tcBorders>
            <w:shd w:val="clear" w:color="auto" w:fill="auto"/>
            <w:noWrap/>
            <w:vAlign w:val="center"/>
            <w:hideMark/>
          </w:tcPr>
          <w:p w14:paraId="44BF5D3B"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23/05/2022</w:t>
            </w:r>
          </w:p>
        </w:tc>
        <w:tc>
          <w:tcPr>
            <w:tcW w:w="1125" w:type="dxa"/>
            <w:tcBorders>
              <w:top w:val="nil"/>
              <w:left w:val="nil"/>
              <w:bottom w:val="single" w:sz="8" w:space="0" w:color="auto"/>
              <w:right w:val="single" w:sz="8" w:space="0" w:color="auto"/>
            </w:tcBorders>
            <w:shd w:val="clear" w:color="auto" w:fill="auto"/>
            <w:noWrap/>
            <w:vAlign w:val="center"/>
            <w:hideMark/>
          </w:tcPr>
          <w:p w14:paraId="7C688C1A"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31/05/2022</w:t>
            </w:r>
          </w:p>
        </w:tc>
        <w:tc>
          <w:tcPr>
            <w:tcW w:w="1096" w:type="dxa"/>
            <w:tcBorders>
              <w:top w:val="nil"/>
              <w:left w:val="nil"/>
              <w:bottom w:val="single" w:sz="8" w:space="0" w:color="auto"/>
              <w:right w:val="single" w:sz="8" w:space="0" w:color="auto"/>
            </w:tcBorders>
            <w:shd w:val="clear" w:color="auto" w:fill="auto"/>
            <w:noWrap/>
            <w:vAlign w:val="center"/>
            <w:hideMark/>
          </w:tcPr>
          <w:p w14:paraId="51D3C25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27657</w:t>
            </w:r>
          </w:p>
        </w:tc>
      </w:tr>
      <w:tr w:rsidR="009D2EA5" w:rsidRPr="003604BA" w14:paraId="6AE2DC4F" w14:textId="77777777" w:rsidTr="00747B2C">
        <w:trPr>
          <w:trHeight w:val="405"/>
        </w:trPr>
        <w:tc>
          <w:tcPr>
            <w:tcW w:w="518" w:type="dxa"/>
            <w:tcBorders>
              <w:top w:val="nil"/>
              <w:left w:val="single" w:sz="8" w:space="0" w:color="auto"/>
              <w:bottom w:val="single" w:sz="8" w:space="0" w:color="auto"/>
              <w:right w:val="single" w:sz="8" w:space="0" w:color="auto"/>
            </w:tcBorders>
            <w:shd w:val="clear" w:color="auto" w:fill="auto"/>
            <w:noWrap/>
            <w:vAlign w:val="center"/>
            <w:hideMark/>
          </w:tcPr>
          <w:p w14:paraId="0462DF3B"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3</w:t>
            </w:r>
          </w:p>
        </w:tc>
        <w:tc>
          <w:tcPr>
            <w:tcW w:w="959" w:type="dxa"/>
            <w:tcBorders>
              <w:top w:val="nil"/>
              <w:left w:val="nil"/>
              <w:bottom w:val="single" w:sz="8" w:space="0" w:color="auto"/>
              <w:right w:val="single" w:sz="8" w:space="0" w:color="auto"/>
            </w:tcBorders>
            <w:shd w:val="clear" w:color="auto" w:fill="auto"/>
            <w:vAlign w:val="center"/>
            <w:hideMark/>
          </w:tcPr>
          <w:p w14:paraId="601A85AA" w14:textId="77777777" w:rsidR="009D2EA5" w:rsidRPr="003604BA" w:rsidRDefault="009D2EA5" w:rsidP="00747B2C">
            <w:pPr>
              <w:rPr>
                <w:rFonts w:eastAsia="Times New Roman" w:cs="Calibri"/>
                <w:sz w:val="16"/>
                <w:szCs w:val="16"/>
              </w:rPr>
            </w:pPr>
            <w:r w:rsidRPr="003604BA">
              <w:rPr>
                <w:rFonts w:eastAsia="Times New Roman" w:cs="Calibri"/>
                <w:sz w:val="16"/>
                <w:szCs w:val="16"/>
              </w:rPr>
              <w:t>E505334801</w:t>
            </w:r>
          </w:p>
        </w:tc>
        <w:tc>
          <w:tcPr>
            <w:tcW w:w="1736" w:type="dxa"/>
            <w:tcBorders>
              <w:top w:val="nil"/>
              <w:left w:val="nil"/>
              <w:bottom w:val="single" w:sz="8" w:space="0" w:color="auto"/>
              <w:right w:val="single" w:sz="8" w:space="0" w:color="auto"/>
            </w:tcBorders>
            <w:shd w:val="clear" w:color="auto" w:fill="auto"/>
            <w:vAlign w:val="center"/>
            <w:hideMark/>
          </w:tcPr>
          <w:p w14:paraId="7486C38A" w14:textId="77777777" w:rsidR="009D2EA5" w:rsidRPr="003604BA" w:rsidRDefault="009D2EA5" w:rsidP="00747B2C">
            <w:pPr>
              <w:rPr>
                <w:rFonts w:eastAsia="Times New Roman" w:cs="Calibri"/>
                <w:sz w:val="16"/>
                <w:szCs w:val="16"/>
              </w:rPr>
            </w:pPr>
            <w:r w:rsidRPr="003604BA">
              <w:rPr>
                <w:rFonts w:eastAsia="Times New Roman" w:cs="Calibri"/>
                <w:sz w:val="16"/>
                <w:szCs w:val="16"/>
              </w:rPr>
              <w:t>Compra de insumos de alimentación.</w:t>
            </w:r>
          </w:p>
        </w:tc>
        <w:tc>
          <w:tcPr>
            <w:tcW w:w="1049" w:type="dxa"/>
            <w:tcBorders>
              <w:top w:val="nil"/>
              <w:left w:val="nil"/>
              <w:bottom w:val="single" w:sz="8" w:space="0" w:color="auto"/>
              <w:right w:val="single" w:sz="8" w:space="0" w:color="auto"/>
            </w:tcBorders>
            <w:shd w:val="clear" w:color="auto" w:fill="auto"/>
            <w:noWrap/>
            <w:vAlign w:val="center"/>
            <w:hideMark/>
          </w:tcPr>
          <w:p w14:paraId="71087DD7"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24,959.50</w:t>
            </w:r>
          </w:p>
        </w:tc>
        <w:tc>
          <w:tcPr>
            <w:tcW w:w="1338" w:type="dxa"/>
            <w:tcBorders>
              <w:top w:val="nil"/>
              <w:left w:val="nil"/>
              <w:bottom w:val="single" w:sz="8" w:space="0" w:color="auto"/>
              <w:right w:val="single" w:sz="8" w:space="0" w:color="auto"/>
            </w:tcBorders>
            <w:shd w:val="clear" w:color="auto" w:fill="auto"/>
            <w:noWrap/>
            <w:vAlign w:val="center"/>
            <w:hideMark/>
          </w:tcPr>
          <w:p w14:paraId="6DD092EB"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16/05/2022</w:t>
            </w:r>
          </w:p>
        </w:tc>
        <w:tc>
          <w:tcPr>
            <w:tcW w:w="1125" w:type="dxa"/>
            <w:tcBorders>
              <w:top w:val="nil"/>
              <w:left w:val="nil"/>
              <w:bottom w:val="single" w:sz="8" w:space="0" w:color="auto"/>
              <w:right w:val="single" w:sz="8" w:space="0" w:color="auto"/>
            </w:tcBorders>
            <w:shd w:val="clear" w:color="auto" w:fill="auto"/>
            <w:noWrap/>
            <w:vAlign w:val="center"/>
            <w:hideMark/>
          </w:tcPr>
          <w:p w14:paraId="75A13E46"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23/05/2022</w:t>
            </w:r>
          </w:p>
        </w:tc>
        <w:tc>
          <w:tcPr>
            <w:tcW w:w="1125" w:type="dxa"/>
            <w:tcBorders>
              <w:top w:val="nil"/>
              <w:left w:val="nil"/>
              <w:bottom w:val="single" w:sz="8" w:space="0" w:color="auto"/>
              <w:right w:val="single" w:sz="8" w:space="0" w:color="auto"/>
            </w:tcBorders>
            <w:shd w:val="clear" w:color="auto" w:fill="auto"/>
            <w:noWrap/>
            <w:vAlign w:val="center"/>
            <w:hideMark/>
          </w:tcPr>
          <w:p w14:paraId="45DEFBD7"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31/05/2022</w:t>
            </w:r>
          </w:p>
        </w:tc>
        <w:tc>
          <w:tcPr>
            <w:tcW w:w="1096" w:type="dxa"/>
            <w:tcBorders>
              <w:top w:val="nil"/>
              <w:left w:val="nil"/>
              <w:bottom w:val="single" w:sz="8" w:space="0" w:color="auto"/>
              <w:right w:val="single" w:sz="8" w:space="0" w:color="auto"/>
            </w:tcBorders>
            <w:shd w:val="clear" w:color="auto" w:fill="auto"/>
            <w:noWrap/>
            <w:vAlign w:val="center"/>
            <w:hideMark/>
          </w:tcPr>
          <w:p w14:paraId="16703D0D"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27658</w:t>
            </w:r>
          </w:p>
        </w:tc>
      </w:tr>
      <w:tr w:rsidR="009D2EA5" w:rsidRPr="003604BA" w14:paraId="00A53CC7" w14:textId="77777777" w:rsidTr="00747B2C">
        <w:trPr>
          <w:trHeight w:val="269"/>
        </w:trPr>
        <w:tc>
          <w:tcPr>
            <w:tcW w:w="518" w:type="dxa"/>
            <w:tcBorders>
              <w:top w:val="nil"/>
              <w:left w:val="single" w:sz="8" w:space="0" w:color="auto"/>
              <w:bottom w:val="single" w:sz="8" w:space="0" w:color="auto"/>
              <w:right w:val="single" w:sz="8" w:space="0" w:color="auto"/>
            </w:tcBorders>
            <w:shd w:val="clear" w:color="auto" w:fill="auto"/>
            <w:noWrap/>
            <w:vAlign w:val="center"/>
            <w:hideMark/>
          </w:tcPr>
          <w:p w14:paraId="1C2AB29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4</w:t>
            </w:r>
          </w:p>
        </w:tc>
        <w:tc>
          <w:tcPr>
            <w:tcW w:w="959" w:type="dxa"/>
            <w:tcBorders>
              <w:top w:val="nil"/>
              <w:left w:val="nil"/>
              <w:bottom w:val="single" w:sz="8" w:space="0" w:color="auto"/>
              <w:right w:val="single" w:sz="8" w:space="0" w:color="auto"/>
            </w:tcBorders>
            <w:shd w:val="clear" w:color="auto" w:fill="auto"/>
            <w:vAlign w:val="center"/>
            <w:hideMark/>
          </w:tcPr>
          <w:p w14:paraId="2D1145DC" w14:textId="77777777" w:rsidR="009D2EA5" w:rsidRPr="003604BA" w:rsidRDefault="009D2EA5" w:rsidP="00747B2C">
            <w:pPr>
              <w:rPr>
                <w:rFonts w:eastAsia="Times New Roman" w:cs="Calibri"/>
                <w:sz w:val="16"/>
                <w:szCs w:val="16"/>
              </w:rPr>
            </w:pPr>
            <w:r w:rsidRPr="003604BA">
              <w:rPr>
                <w:rFonts w:eastAsia="Times New Roman" w:cs="Calibri"/>
                <w:sz w:val="16"/>
                <w:szCs w:val="16"/>
              </w:rPr>
              <w:t>E505360489</w:t>
            </w:r>
          </w:p>
        </w:tc>
        <w:tc>
          <w:tcPr>
            <w:tcW w:w="1736" w:type="dxa"/>
            <w:tcBorders>
              <w:top w:val="nil"/>
              <w:left w:val="nil"/>
              <w:bottom w:val="single" w:sz="8" w:space="0" w:color="auto"/>
              <w:right w:val="single" w:sz="8" w:space="0" w:color="auto"/>
            </w:tcBorders>
            <w:shd w:val="clear" w:color="auto" w:fill="auto"/>
            <w:vAlign w:val="center"/>
            <w:hideMark/>
          </w:tcPr>
          <w:p w14:paraId="0AB1D2F4" w14:textId="77777777" w:rsidR="009D2EA5" w:rsidRPr="003604BA" w:rsidRDefault="009D2EA5" w:rsidP="00747B2C">
            <w:pPr>
              <w:rPr>
                <w:rFonts w:eastAsia="Times New Roman" w:cs="Calibri"/>
                <w:sz w:val="16"/>
                <w:szCs w:val="16"/>
              </w:rPr>
            </w:pPr>
            <w:r w:rsidRPr="003604BA">
              <w:rPr>
                <w:rFonts w:eastAsia="Times New Roman" w:cs="Calibri"/>
                <w:sz w:val="16"/>
                <w:szCs w:val="16"/>
              </w:rPr>
              <w:t>Compra de frijol</w:t>
            </w:r>
          </w:p>
        </w:tc>
        <w:tc>
          <w:tcPr>
            <w:tcW w:w="1049" w:type="dxa"/>
            <w:tcBorders>
              <w:top w:val="nil"/>
              <w:left w:val="nil"/>
              <w:bottom w:val="single" w:sz="8" w:space="0" w:color="auto"/>
              <w:right w:val="single" w:sz="8" w:space="0" w:color="auto"/>
            </w:tcBorders>
            <w:shd w:val="clear" w:color="auto" w:fill="auto"/>
            <w:noWrap/>
            <w:vAlign w:val="center"/>
            <w:hideMark/>
          </w:tcPr>
          <w:p w14:paraId="62F69FCC"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12,800.00</w:t>
            </w:r>
          </w:p>
        </w:tc>
        <w:tc>
          <w:tcPr>
            <w:tcW w:w="1338" w:type="dxa"/>
            <w:tcBorders>
              <w:top w:val="nil"/>
              <w:left w:val="nil"/>
              <w:bottom w:val="single" w:sz="8" w:space="0" w:color="auto"/>
              <w:right w:val="single" w:sz="8" w:space="0" w:color="auto"/>
            </w:tcBorders>
            <w:shd w:val="clear" w:color="auto" w:fill="auto"/>
            <w:noWrap/>
            <w:vAlign w:val="center"/>
            <w:hideMark/>
          </w:tcPr>
          <w:p w14:paraId="2A5D480D"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17/05/2022</w:t>
            </w:r>
          </w:p>
        </w:tc>
        <w:tc>
          <w:tcPr>
            <w:tcW w:w="1125" w:type="dxa"/>
            <w:tcBorders>
              <w:top w:val="nil"/>
              <w:left w:val="nil"/>
              <w:bottom w:val="single" w:sz="8" w:space="0" w:color="auto"/>
              <w:right w:val="single" w:sz="8" w:space="0" w:color="auto"/>
            </w:tcBorders>
            <w:shd w:val="clear" w:color="auto" w:fill="auto"/>
            <w:noWrap/>
            <w:vAlign w:val="center"/>
            <w:hideMark/>
          </w:tcPr>
          <w:p w14:paraId="57A1E6A0"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24/05/2022</w:t>
            </w:r>
          </w:p>
        </w:tc>
        <w:tc>
          <w:tcPr>
            <w:tcW w:w="1125" w:type="dxa"/>
            <w:tcBorders>
              <w:top w:val="nil"/>
              <w:left w:val="nil"/>
              <w:bottom w:val="single" w:sz="8" w:space="0" w:color="auto"/>
              <w:right w:val="single" w:sz="8" w:space="0" w:color="auto"/>
            </w:tcBorders>
            <w:shd w:val="clear" w:color="auto" w:fill="auto"/>
            <w:noWrap/>
            <w:vAlign w:val="center"/>
            <w:hideMark/>
          </w:tcPr>
          <w:p w14:paraId="79196209"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1/06/2022</w:t>
            </w:r>
          </w:p>
        </w:tc>
        <w:tc>
          <w:tcPr>
            <w:tcW w:w="1096" w:type="dxa"/>
            <w:tcBorders>
              <w:top w:val="nil"/>
              <w:left w:val="nil"/>
              <w:bottom w:val="single" w:sz="8" w:space="0" w:color="auto"/>
              <w:right w:val="single" w:sz="8" w:space="0" w:color="auto"/>
            </w:tcBorders>
            <w:shd w:val="clear" w:color="auto" w:fill="auto"/>
            <w:noWrap/>
            <w:vAlign w:val="center"/>
            <w:hideMark/>
          </w:tcPr>
          <w:p w14:paraId="5DD2F246"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27663</w:t>
            </w:r>
          </w:p>
        </w:tc>
      </w:tr>
      <w:tr w:rsidR="009D2EA5" w:rsidRPr="003604BA" w14:paraId="642A1679" w14:textId="77777777" w:rsidTr="00747B2C">
        <w:trPr>
          <w:trHeight w:val="543"/>
        </w:trPr>
        <w:tc>
          <w:tcPr>
            <w:tcW w:w="518" w:type="dxa"/>
            <w:tcBorders>
              <w:top w:val="nil"/>
              <w:left w:val="single" w:sz="8" w:space="0" w:color="auto"/>
              <w:bottom w:val="nil"/>
              <w:right w:val="single" w:sz="8" w:space="0" w:color="auto"/>
            </w:tcBorders>
            <w:shd w:val="clear" w:color="auto" w:fill="auto"/>
            <w:noWrap/>
            <w:vAlign w:val="center"/>
            <w:hideMark/>
          </w:tcPr>
          <w:p w14:paraId="5E194D7F"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5</w:t>
            </w:r>
          </w:p>
        </w:tc>
        <w:tc>
          <w:tcPr>
            <w:tcW w:w="959" w:type="dxa"/>
            <w:tcBorders>
              <w:top w:val="nil"/>
              <w:left w:val="nil"/>
              <w:bottom w:val="nil"/>
              <w:right w:val="single" w:sz="8" w:space="0" w:color="auto"/>
            </w:tcBorders>
            <w:shd w:val="clear" w:color="auto" w:fill="auto"/>
            <w:vAlign w:val="center"/>
            <w:hideMark/>
          </w:tcPr>
          <w:p w14:paraId="0BBEEB9D" w14:textId="77777777" w:rsidR="009D2EA5" w:rsidRPr="003604BA" w:rsidRDefault="009D2EA5" w:rsidP="00747B2C">
            <w:pPr>
              <w:rPr>
                <w:rFonts w:eastAsia="Times New Roman" w:cs="Calibri"/>
                <w:sz w:val="16"/>
                <w:szCs w:val="16"/>
              </w:rPr>
            </w:pPr>
            <w:r w:rsidRPr="003604BA">
              <w:rPr>
                <w:rFonts w:eastAsia="Times New Roman" w:cs="Calibri"/>
                <w:sz w:val="16"/>
                <w:szCs w:val="16"/>
              </w:rPr>
              <w:t>E505360845</w:t>
            </w:r>
          </w:p>
        </w:tc>
        <w:tc>
          <w:tcPr>
            <w:tcW w:w="1736" w:type="dxa"/>
            <w:tcBorders>
              <w:top w:val="nil"/>
              <w:left w:val="nil"/>
              <w:bottom w:val="nil"/>
              <w:right w:val="single" w:sz="8" w:space="0" w:color="auto"/>
            </w:tcBorders>
            <w:shd w:val="clear" w:color="auto" w:fill="auto"/>
            <w:vAlign w:val="center"/>
            <w:hideMark/>
          </w:tcPr>
          <w:p w14:paraId="3661A93F" w14:textId="77777777" w:rsidR="009D2EA5" w:rsidRPr="003604BA" w:rsidRDefault="009D2EA5" w:rsidP="00747B2C">
            <w:pPr>
              <w:rPr>
                <w:rFonts w:eastAsia="Times New Roman" w:cs="Calibri"/>
                <w:sz w:val="16"/>
                <w:szCs w:val="16"/>
              </w:rPr>
            </w:pPr>
            <w:r w:rsidRPr="003604BA">
              <w:rPr>
                <w:rFonts w:eastAsia="Times New Roman" w:cs="Calibri"/>
                <w:sz w:val="16"/>
                <w:szCs w:val="16"/>
              </w:rPr>
              <w:t>Compra de insumos de alimentación.</w:t>
            </w:r>
          </w:p>
        </w:tc>
        <w:tc>
          <w:tcPr>
            <w:tcW w:w="1049" w:type="dxa"/>
            <w:tcBorders>
              <w:top w:val="nil"/>
              <w:left w:val="nil"/>
              <w:bottom w:val="nil"/>
              <w:right w:val="single" w:sz="8" w:space="0" w:color="auto"/>
            </w:tcBorders>
            <w:shd w:val="clear" w:color="auto" w:fill="auto"/>
            <w:noWrap/>
            <w:vAlign w:val="center"/>
            <w:hideMark/>
          </w:tcPr>
          <w:p w14:paraId="5BA6AD1A"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24,949.25</w:t>
            </w:r>
          </w:p>
        </w:tc>
        <w:tc>
          <w:tcPr>
            <w:tcW w:w="1338" w:type="dxa"/>
            <w:tcBorders>
              <w:top w:val="nil"/>
              <w:left w:val="nil"/>
              <w:bottom w:val="single" w:sz="8" w:space="0" w:color="auto"/>
              <w:right w:val="single" w:sz="8" w:space="0" w:color="auto"/>
            </w:tcBorders>
            <w:shd w:val="clear" w:color="auto" w:fill="auto"/>
            <w:noWrap/>
            <w:vAlign w:val="center"/>
            <w:hideMark/>
          </w:tcPr>
          <w:p w14:paraId="244BA8C5"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16/05/2022</w:t>
            </w:r>
          </w:p>
        </w:tc>
        <w:tc>
          <w:tcPr>
            <w:tcW w:w="1125" w:type="dxa"/>
            <w:tcBorders>
              <w:top w:val="nil"/>
              <w:left w:val="nil"/>
              <w:bottom w:val="single" w:sz="8" w:space="0" w:color="auto"/>
              <w:right w:val="single" w:sz="8" w:space="0" w:color="auto"/>
            </w:tcBorders>
            <w:shd w:val="clear" w:color="auto" w:fill="auto"/>
            <w:noWrap/>
            <w:vAlign w:val="center"/>
            <w:hideMark/>
          </w:tcPr>
          <w:p w14:paraId="05965DBE"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23/05/2022</w:t>
            </w:r>
          </w:p>
        </w:tc>
        <w:tc>
          <w:tcPr>
            <w:tcW w:w="1125" w:type="dxa"/>
            <w:tcBorders>
              <w:top w:val="nil"/>
              <w:left w:val="nil"/>
              <w:bottom w:val="single" w:sz="8" w:space="0" w:color="auto"/>
              <w:right w:val="single" w:sz="8" w:space="0" w:color="auto"/>
            </w:tcBorders>
            <w:shd w:val="clear" w:color="auto" w:fill="auto"/>
            <w:noWrap/>
            <w:vAlign w:val="center"/>
            <w:hideMark/>
          </w:tcPr>
          <w:p w14:paraId="7497032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1/06/2022</w:t>
            </w:r>
          </w:p>
        </w:tc>
        <w:tc>
          <w:tcPr>
            <w:tcW w:w="1096" w:type="dxa"/>
            <w:tcBorders>
              <w:top w:val="nil"/>
              <w:left w:val="nil"/>
              <w:bottom w:val="single" w:sz="8" w:space="0" w:color="auto"/>
              <w:right w:val="single" w:sz="8" w:space="0" w:color="auto"/>
            </w:tcBorders>
            <w:shd w:val="clear" w:color="auto" w:fill="auto"/>
            <w:noWrap/>
            <w:vAlign w:val="center"/>
            <w:hideMark/>
          </w:tcPr>
          <w:p w14:paraId="606029A2" w14:textId="77777777" w:rsidR="009D2EA5" w:rsidRPr="003604BA" w:rsidRDefault="009D2EA5" w:rsidP="00747B2C">
            <w:pPr>
              <w:jc w:val="right"/>
              <w:rPr>
                <w:rFonts w:eastAsia="Times New Roman" w:cs="Calibri"/>
                <w:sz w:val="16"/>
                <w:szCs w:val="16"/>
              </w:rPr>
            </w:pPr>
            <w:r w:rsidRPr="003604BA">
              <w:rPr>
                <w:rFonts w:eastAsia="Times New Roman" w:cs="Calibri"/>
                <w:sz w:val="16"/>
                <w:szCs w:val="16"/>
              </w:rPr>
              <w:t>27665</w:t>
            </w:r>
          </w:p>
        </w:tc>
      </w:tr>
      <w:tr w:rsidR="009D2EA5" w:rsidRPr="003604BA" w14:paraId="56A1FC97" w14:textId="77777777" w:rsidTr="00747B2C">
        <w:trPr>
          <w:trHeight w:val="295"/>
        </w:trPr>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0C01" w14:textId="77777777" w:rsidR="009D2EA5" w:rsidRPr="003604BA" w:rsidRDefault="009D2EA5" w:rsidP="00747B2C">
            <w:pPr>
              <w:jc w:val="right"/>
              <w:rPr>
                <w:rFonts w:eastAsia="Times New Roman" w:cs="Calibri"/>
                <w:b/>
                <w:sz w:val="16"/>
                <w:szCs w:val="16"/>
              </w:rPr>
            </w:pPr>
            <w:r w:rsidRPr="003604BA">
              <w:rPr>
                <w:rFonts w:eastAsia="Times New Roman" w:cs="Calibri"/>
                <w:b/>
                <w:sz w:val="16"/>
                <w:szCs w:val="16"/>
              </w:rPr>
              <w:t>Total</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2B2595B" w14:textId="77777777" w:rsidR="009D2EA5" w:rsidRPr="003604BA" w:rsidRDefault="009D2EA5" w:rsidP="00747B2C">
            <w:pPr>
              <w:jc w:val="right"/>
              <w:rPr>
                <w:rFonts w:eastAsia="Times New Roman" w:cs="Calibri"/>
                <w:b/>
                <w:sz w:val="16"/>
                <w:szCs w:val="16"/>
              </w:rPr>
            </w:pPr>
            <w:r w:rsidRPr="003604BA">
              <w:rPr>
                <w:rFonts w:eastAsia="Times New Roman" w:cs="Calibri"/>
                <w:b/>
                <w:sz w:val="16"/>
                <w:szCs w:val="16"/>
              </w:rPr>
              <w:t>112,522.50</w:t>
            </w:r>
          </w:p>
        </w:tc>
        <w:tc>
          <w:tcPr>
            <w:tcW w:w="1338" w:type="dxa"/>
            <w:tcBorders>
              <w:top w:val="nil"/>
              <w:left w:val="nil"/>
              <w:bottom w:val="nil"/>
              <w:right w:val="nil"/>
            </w:tcBorders>
            <w:shd w:val="clear" w:color="auto" w:fill="auto"/>
            <w:noWrap/>
            <w:vAlign w:val="bottom"/>
            <w:hideMark/>
          </w:tcPr>
          <w:p w14:paraId="7F1ACD79" w14:textId="77777777" w:rsidR="009D2EA5" w:rsidRPr="003604BA" w:rsidRDefault="009D2EA5" w:rsidP="00747B2C">
            <w:pPr>
              <w:jc w:val="right"/>
              <w:rPr>
                <w:rFonts w:eastAsia="Times New Roman" w:cs="Calibri"/>
                <w:b/>
                <w:bCs/>
              </w:rPr>
            </w:pPr>
          </w:p>
        </w:tc>
        <w:tc>
          <w:tcPr>
            <w:tcW w:w="1125" w:type="dxa"/>
            <w:tcBorders>
              <w:top w:val="nil"/>
              <w:left w:val="nil"/>
              <w:bottom w:val="nil"/>
              <w:right w:val="nil"/>
            </w:tcBorders>
            <w:shd w:val="clear" w:color="auto" w:fill="auto"/>
            <w:noWrap/>
            <w:vAlign w:val="bottom"/>
            <w:hideMark/>
          </w:tcPr>
          <w:p w14:paraId="42499DDB" w14:textId="77777777" w:rsidR="009D2EA5" w:rsidRPr="003604BA" w:rsidRDefault="009D2EA5" w:rsidP="00747B2C">
            <w:pPr>
              <w:rPr>
                <w:rFonts w:ascii="Times New Roman" w:eastAsia="Times New Roman" w:hAnsi="Times New Roman"/>
                <w:sz w:val="20"/>
                <w:szCs w:val="20"/>
              </w:rPr>
            </w:pPr>
          </w:p>
        </w:tc>
        <w:tc>
          <w:tcPr>
            <w:tcW w:w="1125" w:type="dxa"/>
            <w:tcBorders>
              <w:top w:val="nil"/>
              <w:left w:val="nil"/>
              <w:bottom w:val="nil"/>
              <w:right w:val="nil"/>
            </w:tcBorders>
            <w:shd w:val="clear" w:color="auto" w:fill="auto"/>
            <w:noWrap/>
            <w:vAlign w:val="bottom"/>
            <w:hideMark/>
          </w:tcPr>
          <w:p w14:paraId="1D39C0FD" w14:textId="77777777" w:rsidR="009D2EA5" w:rsidRPr="003604BA" w:rsidRDefault="009D2EA5" w:rsidP="00747B2C">
            <w:pPr>
              <w:rPr>
                <w:rFonts w:ascii="Times New Roman" w:eastAsia="Times New Roman" w:hAnsi="Times New Roman"/>
                <w:sz w:val="20"/>
                <w:szCs w:val="20"/>
              </w:rPr>
            </w:pPr>
          </w:p>
        </w:tc>
        <w:tc>
          <w:tcPr>
            <w:tcW w:w="1096" w:type="dxa"/>
            <w:tcBorders>
              <w:top w:val="nil"/>
              <w:left w:val="nil"/>
              <w:bottom w:val="nil"/>
              <w:right w:val="nil"/>
            </w:tcBorders>
            <w:shd w:val="clear" w:color="auto" w:fill="auto"/>
            <w:noWrap/>
            <w:vAlign w:val="bottom"/>
            <w:hideMark/>
          </w:tcPr>
          <w:p w14:paraId="4BAD6900" w14:textId="77777777" w:rsidR="009D2EA5" w:rsidRPr="003604BA" w:rsidRDefault="009D2EA5" w:rsidP="00747B2C">
            <w:pPr>
              <w:rPr>
                <w:rFonts w:ascii="Times New Roman" w:eastAsia="Times New Roman" w:hAnsi="Times New Roman"/>
                <w:sz w:val="20"/>
                <w:szCs w:val="20"/>
              </w:rPr>
            </w:pPr>
          </w:p>
        </w:tc>
      </w:tr>
    </w:tbl>
    <w:p w14:paraId="1F6413A9" w14:textId="77777777" w:rsidR="009D2EA5" w:rsidRDefault="009D2EA5" w:rsidP="009D2EA5"/>
    <w:p w14:paraId="5D52F5F6" w14:textId="77777777" w:rsidR="009D2EA5" w:rsidRDefault="009D2EA5">
      <w:pPr>
        <w:ind w:left="395" w:right="0"/>
      </w:pPr>
    </w:p>
    <w:sectPr w:rsidR="009D2EA5">
      <w:footerReference w:type="even" r:id="rId9"/>
      <w:footerReference w:type="default" r:id="rId10"/>
      <w:footerReference w:type="first" r:id="rId11"/>
      <w:pgSz w:w="12240" w:h="15840"/>
      <w:pgMar w:top="1920" w:right="600" w:bottom="1164" w:left="100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0EDE" w14:textId="77777777" w:rsidR="00D96008" w:rsidRDefault="00D96008">
      <w:pPr>
        <w:spacing w:after="0" w:line="240" w:lineRule="auto"/>
      </w:pPr>
      <w:r>
        <w:separator/>
      </w:r>
    </w:p>
  </w:endnote>
  <w:endnote w:type="continuationSeparator" w:id="0">
    <w:p w14:paraId="1F7B0B94" w14:textId="77777777" w:rsidR="00D96008" w:rsidRDefault="00D9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C4D7" w14:textId="77777777" w:rsidR="000A6F19" w:rsidRDefault="00D96008">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8</w:t>
      </w:r>
    </w:fldSimple>
  </w:p>
  <w:p w14:paraId="547C6CC2" w14:textId="77777777" w:rsidR="000A6F19" w:rsidRDefault="00D96008">
    <w:pPr>
      <w:spacing w:after="0" w:line="259" w:lineRule="auto"/>
      <w:ind w:left="0" w:right="400" w:firstLine="0"/>
      <w:jc w:val="center"/>
    </w:pPr>
    <w:r>
      <w:rPr>
        <w:sz w:val="16"/>
      </w:rPr>
      <w:t>MINISTERIO DE EDUCACIÓN (1113-0008-000-00)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451D" w14:textId="77777777" w:rsidR="000A6F19" w:rsidRDefault="00D96008">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sidR="009D2EA5" w:rsidRPr="009D2EA5">
      <w:rPr>
        <w:noProof/>
        <w:sz w:val="16"/>
      </w:rPr>
      <w:t>11</w:t>
    </w:r>
    <w:r>
      <w:rPr>
        <w:sz w:val="16"/>
      </w:rPr>
      <w:fldChar w:fldCharType="end"/>
    </w:r>
    <w:r>
      <w:rPr>
        <w:sz w:val="16"/>
      </w:rPr>
      <w:t xml:space="preserve"> de </w:t>
    </w:r>
    <w:fldSimple w:instr=" NUMPAGES   \* MERGEFORMAT ">
      <w:r w:rsidR="009D2EA5" w:rsidRPr="009D2EA5">
        <w:rPr>
          <w:noProof/>
          <w:sz w:val="16"/>
        </w:rPr>
        <w:t>11</w:t>
      </w:r>
    </w:fldSimple>
  </w:p>
  <w:p w14:paraId="2C665C40" w14:textId="77777777" w:rsidR="000A6F19" w:rsidRDefault="00D96008">
    <w:pPr>
      <w:spacing w:after="0" w:line="259" w:lineRule="auto"/>
      <w:ind w:left="0" w:right="400" w:firstLine="0"/>
      <w:jc w:val="center"/>
    </w:pPr>
    <w:r>
      <w:rPr>
        <w:sz w:val="16"/>
      </w:rPr>
      <w:t>MINISTERIO DE EDUCACIÓN (1113-0008-000-00)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86D2" w14:textId="77777777" w:rsidR="000A6F19" w:rsidRDefault="00D96008">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8</w:t>
      </w:r>
    </w:fldSimple>
  </w:p>
  <w:p w14:paraId="562DF9D5" w14:textId="77777777" w:rsidR="000A6F19" w:rsidRDefault="00D96008">
    <w:pPr>
      <w:spacing w:after="0" w:line="259" w:lineRule="auto"/>
      <w:ind w:left="0" w:right="400" w:firstLine="0"/>
      <w:jc w:val="center"/>
    </w:pPr>
    <w:r>
      <w:rPr>
        <w:sz w:val="16"/>
      </w:rPr>
      <w:t>MINISTERIO DE EDUCACIÓN (1113-0008-000-00)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565" w14:textId="77777777" w:rsidR="00D96008" w:rsidRDefault="00D96008">
      <w:pPr>
        <w:spacing w:after="0" w:line="240" w:lineRule="auto"/>
      </w:pPr>
      <w:r>
        <w:separator/>
      </w:r>
    </w:p>
  </w:footnote>
  <w:footnote w:type="continuationSeparator" w:id="0">
    <w:p w14:paraId="661FF21E" w14:textId="77777777" w:rsidR="00D96008" w:rsidRDefault="00D9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2E5"/>
    <w:multiLevelType w:val="multilevel"/>
    <w:tmpl w:val="15DE4CBC"/>
    <w:lvl w:ilvl="0">
      <w:start w:val="1"/>
      <w:numFmt w:val="decimal"/>
      <w:pStyle w:val="Ttulo1"/>
      <w:lvlText w:val="%1."/>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E3B76"/>
    <w:multiLevelType w:val="hybridMultilevel"/>
    <w:tmpl w:val="DB90BB6E"/>
    <w:lvl w:ilvl="0" w:tplc="1EBECAB8">
      <w:start w:val="4"/>
      <w:numFmt w:val="decimal"/>
      <w:lvlText w:val="%1"/>
      <w:lvlJc w:val="left"/>
      <w:pPr>
        <w:ind w:left="698"/>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7D128FF8">
      <w:start w:val="1"/>
      <w:numFmt w:val="lowerLetter"/>
      <w:lvlText w:val="%2"/>
      <w:lvlJc w:val="left"/>
      <w:pPr>
        <w:ind w:left="14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A3962F9C">
      <w:start w:val="1"/>
      <w:numFmt w:val="lowerRoman"/>
      <w:lvlText w:val="%3"/>
      <w:lvlJc w:val="left"/>
      <w:pPr>
        <w:ind w:left="22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362A6E2">
      <w:start w:val="1"/>
      <w:numFmt w:val="decimal"/>
      <w:lvlText w:val="%4"/>
      <w:lvlJc w:val="left"/>
      <w:pPr>
        <w:ind w:left="29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D1CAD416">
      <w:start w:val="1"/>
      <w:numFmt w:val="lowerLetter"/>
      <w:lvlText w:val="%5"/>
      <w:lvlJc w:val="left"/>
      <w:pPr>
        <w:ind w:left="36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E9E807A4">
      <w:start w:val="1"/>
      <w:numFmt w:val="lowerRoman"/>
      <w:lvlText w:val="%6"/>
      <w:lvlJc w:val="left"/>
      <w:pPr>
        <w:ind w:left="4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64208DF2">
      <w:start w:val="1"/>
      <w:numFmt w:val="decimal"/>
      <w:lvlText w:val="%7"/>
      <w:lvlJc w:val="left"/>
      <w:pPr>
        <w:ind w:left="5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3FC1C78">
      <w:start w:val="1"/>
      <w:numFmt w:val="lowerLetter"/>
      <w:lvlText w:val="%8"/>
      <w:lvlJc w:val="left"/>
      <w:pPr>
        <w:ind w:left="5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A150FF9E">
      <w:start w:val="1"/>
      <w:numFmt w:val="lowerRoman"/>
      <w:lvlText w:val="%9"/>
      <w:lvlJc w:val="left"/>
      <w:pPr>
        <w:ind w:left="6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2075807974">
    <w:abstractNumId w:val="1"/>
  </w:num>
  <w:num w:numId="2" w16cid:durableId="60188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19"/>
    <w:rsid w:val="000A6F19"/>
    <w:rsid w:val="009D2EA5"/>
    <w:rsid w:val="00B53327"/>
    <w:rsid w:val="00D44B6F"/>
    <w:rsid w:val="00D960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05A4"/>
  <w15:docId w15:val="{71622541-1263-403F-B227-A70A0FD9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383" w:hanging="10"/>
      <w:jc w:val="both"/>
    </w:pPr>
    <w:rPr>
      <w:rFonts w:ascii="Roboto" w:eastAsia="Roboto" w:hAnsi="Roboto" w:cs="Roboto"/>
      <w:color w:val="000000"/>
      <w:sz w:val="24"/>
    </w:rPr>
  </w:style>
  <w:style w:type="paragraph" w:styleId="Ttulo1">
    <w:name w:val="heading 1"/>
    <w:next w:val="Normal"/>
    <w:link w:val="Ttulo1Car"/>
    <w:uiPriority w:val="9"/>
    <w:unhideWhenUsed/>
    <w:qFormat/>
    <w:pPr>
      <w:keepNext/>
      <w:keepLines/>
      <w:numPr>
        <w:numId w:val="2"/>
      </w:numPr>
      <w:spacing w:after="3" w:line="265" w:lineRule="auto"/>
      <w:ind w:left="10" w:right="383" w:hanging="10"/>
      <w:jc w:val="both"/>
      <w:outlineLvl w:val="0"/>
    </w:pPr>
    <w:rPr>
      <w:rFonts w:ascii="Roboto" w:eastAsia="Roboto" w:hAnsi="Roboto" w:cs="Roboto"/>
      <w:color w:val="000000"/>
      <w:sz w:val="24"/>
    </w:rPr>
  </w:style>
  <w:style w:type="paragraph" w:styleId="Ttulo2">
    <w:name w:val="heading 2"/>
    <w:next w:val="Normal"/>
    <w:link w:val="Ttulo2Car"/>
    <w:uiPriority w:val="9"/>
    <w:unhideWhenUsed/>
    <w:qFormat/>
    <w:pPr>
      <w:keepNext/>
      <w:keepLines/>
      <w:numPr>
        <w:ilvl w:val="1"/>
        <w:numId w:val="2"/>
      </w:numPr>
      <w:spacing w:after="3" w:line="265" w:lineRule="auto"/>
      <w:ind w:left="10" w:right="383" w:hanging="10"/>
      <w:jc w:val="both"/>
      <w:outlineLvl w:val="1"/>
    </w:pPr>
    <w:rPr>
      <w:rFonts w:ascii="Roboto" w:eastAsia="Roboto" w:hAnsi="Roboto" w:cs="Roboto"/>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Roboto" w:eastAsia="Roboto" w:hAnsi="Roboto" w:cs="Roboto"/>
      <w:color w:val="000000"/>
      <w:sz w:val="24"/>
    </w:rPr>
  </w:style>
  <w:style w:type="character" w:customStyle="1" w:styleId="Ttulo2Car">
    <w:name w:val="Título 2 Car"/>
    <w:link w:val="Ttulo2"/>
    <w:rPr>
      <w:rFonts w:ascii="Roboto" w:eastAsia="Roboto" w:hAnsi="Roboto" w:cs="Roboto"/>
      <w:color w:val="000000"/>
      <w:sz w:val="24"/>
    </w:rPr>
  </w:style>
  <w:style w:type="paragraph" w:styleId="TDC1">
    <w:name w:val="toc 1"/>
    <w:hidden/>
    <w:pPr>
      <w:spacing w:after="44" w:line="265" w:lineRule="auto"/>
      <w:ind w:left="25" w:right="408" w:hanging="10"/>
      <w:jc w:val="both"/>
    </w:pPr>
    <w:rPr>
      <w:rFonts w:ascii="Roboto" w:eastAsia="Roboto" w:hAnsi="Roboto" w:cs="Roboto"/>
      <w:color w:val="000000"/>
      <w:sz w:val="24"/>
    </w:rPr>
  </w:style>
  <w:style w:type="paragraph" w:styleId="TDC2">
    <w:name w:val="toc 2"/>
    <w:hidden/>
    <w:pPr>
      <w:spacing w:after="44" w:line="265" w:lineRule="auto"/>
      <w:ind w:left="25" w:right="408" w:hanging="10"/>
      <w:jc w:val="both"/>
    </w:pPr>
    <w:rPr>
      <w:rFonts w:ascii="Roboto" w:eastAsia="Roboto" w:hAnsi="Roboto" w:cs="Roboto"/>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2877-D70E-4B9E-B197-B3E423E6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2060</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Wendy Gabriela De Paz Meléndez</cp:lastModifiedBy>
  <cp:revision>2</cp:revision>
  <dcterms:created xsi:type="dcterms:W3CDTF">2022-09-28T20:07:00Z</dcterms:created>
  <dcterms:modified xsi:type="dcterms:W3CDTF">2022-09-28T20:07:00Z</dcterms:modified>
</cp:coreProperties>
</file>