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D2B" w:rsidRDefault="001D6EAF">
      <w:pPr>
        <w:spacing w:before="71" w:line="290" w:lineRule="auto"/>
        <w:ind w:left="4439" w:right="2838" w:hanging="378"/>
        <w:rPr>
          <w:b/>
          <w:sz w:val="24"/>
        </w:rPr>
      </w:pPr>
      <w:bookmarkStart w:id="0" w:name="_GoBack"/>
      <w:bookmarkEnd w:id="0"/>
      <w:r>
        <w:rPr>
          <w:b/>
          <w:sz w:val="24"/>
        </w:rPr>
        <w:t>MINISTERIO DE EDUCACIÓN AUDITORIA INTERNA CUA No.:105291</w:t>
      </w: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3C1D2B">
      <w:pPr>
        <w:pStyle w:val="Textoindependiente"/>
        <w:rPr>
          <w:b/>
          <w:sz w:val="26"/>
        </w:rPr>
      </w:pPr>
    </w:p>
    <w:p w:rsidR="003C1D2B" w:rsidRDefault="001D6EAF">
      <w:pPr>
        <w:spacing w:before="185" w:line="340" w:lineRule="auto"/>
        <w:ind w:left="3767" w:right="2565" w:hanging="2"/>
        <w:jc w:val="center"/>
        <w:rPr>
          <w:b/>
          <w:sz w:val="24"/>
        </w:rPr>
      </w:pPr>
      <w:r>
        <w:rPr>
          <w:b/>
          <w:sz w:val="24"/>
        </w:rPr>
        <w:t>MINISTERIO DE EDUCACIÓN ACTIVIDADES ADMINISTRATIVAS</w:t>
      </w:r>
    </w:p>
    <w:p w:rsidR="003C1D2B" w:rsidRDefault="001D6EAF">
      <w:pPr>
        <w:spacing w:before="3" w:line="290" w:lineRule="auto"/>
        <w:ind w:left="2333" w:right="1137" w:firstLine="3"/>
        <w:jc w:val="center"/>
        <w:rPr>
          <w:b/>
          <w:sz w:val="24"/>
        </w:rPr>
      </w:pPr>
      <w:r>
        <w:rPr>
          <w:b/>
          <w:sz w:val="24"/>
        </w:rPr>
        <w:t>Auditoría Administrativa de seguimiento a las recomendaciones emitidas por la Dirección de Auditoría Interna, en el CUA 88522-1-2020 de la Auditoría Administrativa de verificación de uso adecuado de caja chica y cupones de combustible en la Dirección Gener</w:t>
      </w:r>
      <w:r>
        <w:rPr>
          <w:b/>
          <w:sz w:val="24"/>
        </w:rPr>
        <w:t>al</w:t>
      </w:r>
      <w:r>
        <w:rPr>
          <w:b/>
          <w:spacing w:val="-47"/>
          <w:sz w:val="24"/>
        </w:rPr>
        <w:t xml:space="preserve"> </w:t>
      </w:r>
      <w:r>
        <w:rPr>
          <w:b/>
          <w:sz w:val="24"/>
        </w:rPr>
        <w:t>de Educación Bilingüe Intercultural-</w:t>
      </w:r>
      <w:r>
        <w:rPr>
          <w:b/>
          <w:spacing w:val="-9"/>
          <w:sz w:val="24"/>
        </w:rPr>
        <w:t xml:space="preserve"> </w:t>
      </w:r>
      <w:r>
        <w:rPr>
          <w:b/>
          <w:sz w:val="24"/>
        </w:rPr>
        <w:t>DIGEBI-</w:t>
      </w: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rPr>
          <w:b/>
          <w:sz w:val="20"/>
        </w:rPr>
      </w:pPr>
    </w:p>
    <w:p w:rsidR="003C1D2B" w:rsidRDefault="003C1D2B">
      <w:pPr>
        <w:pStyle w:val="Textoindependiente"/>
        <w:spacing w:before="7"/>
        <w:rPr>
          <w:b/>
          <w:sz w:val="17"/>
        </w:rPr>
      </w:pPr>
    </w:p>
    <w:p w:rsidR="003C1D2B" w:rsidRDefault="001D6EAF">
      <w:pPr>
        <w:spacing w:before="93"/>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100531</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3C1D2B" w:rsidRDefault="003C1D2B">
      <w:pPr>
        <w:rPr>
          <w:sz w:val="24"/>
        </w:rPr>
        <w:sectPr w:rsidR="003C1D2B">
          <w:type w:val="continuous"/>
          <w:pgSz w:w="12240" w:h="15840"/>
          <w:pgMar w:top="1080" w:right="1600" w:bottom="0" w:left="400" w:header="720" w:footer="720" w:gutter="0"/>
          <w:cols w:space="720"/>
        </w:sectPr>
      </w:pPr>
    </w:p>
    <w:p w:rsidR="003C1D2B" w:rsidRDefault="001D6EAF">
      <w:pPr>
        <w:spacing w:before="71"/>
        <w:ind w:left="4938" w:right="4447"/>
        <w:jc w:val="center"/>
        <w:rPr>
          <w:b/>
          <w:sz w:val="24"/>
        </w:rPr>
      </w:pPr>
      <w:r>
        <w:rPr>
          <w:b/>
          <w:sz w:val="24"/>
        </w:rPr>
        <w:lastRenderedPageBreak/>
        <w:t>INDICE</w:t>
      </w:r>
    </w:p>
    <w:sdt>
      <w:sdtPr>
        <w:id w:val="1004479088"/>
        <w:docPartObj>
          <w:docPartGallery w:val="Table of Contents"/>
          <w:docPartUnique/>
        </w:docPartObj>
      </w:sdtPr>
      <w:sdtEndPr/>
      <w:sdtContent>
        <w:p w:rsidR="003C1D2B" w:rsidRDefault="001D6EAF">
          <w:pPr>
            <w:pStyle w:val="TDC1"/>
            <w:tabs>
              <w:tab w:val="right" w:pos="9427"/>
            </w:tabs>
            <w:spacing w:before="741"/>
            <w:rPr>
              <w:b w:val="0"/>
            </w:rPr>
          </w:pPr>
          <w:hyperlink w:anchor="_TOC_250003" w:history="1">
            <w:r>
              <w:t>INTRODUCCION</w:t>
            </w:r>
            <w:r>
              <w:tab/>
            </w:r>
            <w:r>
              <w:rPr>
                <w:b w:val="0"/>
                <w:position w:val="-3"/>
              </w:rPr>
              <w:t>1</w:t>
            </w:r>
          </w:hyperlink>
        </w:p>
        <w:p w:rsidR="003C1D2B" w:rsidRDefault="001D6EAF">
          <w:pPr>
            <w:pStyle w:val="TDC1"/>
            <w:tabs>
              <w:tab w:val="right" w:pos="9427"/>
            </w:tabs>
            <w:rPr>
              <w:b w:val="0"/>
            </w:rPr>
          </w:pPr>
          <w:r>
            <w:t>OBJETIVOS</w:t>
          </w:r>
          <w:r>
            <w:tab/>
          </w:r>
          <w:r>
            <w:rPr>
              <w:b w:val="0"/>
              <w:position w:val="-3"/>
            </w:rPr>
            <w:t>1</w:t>
          </w:r>
        </w:p>
        <w:p w:rsidR="003C1D2B" w:rsidRDefault="001D6EAF">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3C1D2B" w:rsidRDefault="001D6EAF">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3C1D2B" w:rsidRDefault="001D6EAF">
          <w:pPr>
            <w:pStyle w:val="TDC1"/>
            <w:tabs>
              <w:tab w:val="right" w:pos="9427"/>
            </w:tabs>
            <w:spacing w:before="154"/>
            <w:rPr>
              <w:b w:val="0"/>
            </w:rPr>
          </w:pPr>
          <w:hyperlink w:anchor="_TOC_250000" w:history="1">
            <w:r>
              <w:t>ANEXOS</w:t>
            </w:r>
            <w:r>
              <w:tab/>
            </w:r>
            <w:r>
              <w:rPr>
                <w:b w:val="0"/>
                <w:position w:val="-3"/>
              </w:rPr>
              <w:t>4</w:t>
            </w:r>
          </w:hyperlink>
        </w:p>
      </w:sdtContent>
    </w:sdt>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1D6EAF">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3C1D2B" w:rsidRDefault="003C1D2B">
      <w:pPr>
        <w:rPr>
          <w:sz w:val="18"/>
        </w:rPr>
        <w:sectPr w:rsidR="003C1D2B">
          <w:pgSz w:w="12240" w:h="15840"/>
          <w:pgMar w:top="1080" w:right="1600" w:bottom="0" w:left="400" w:header="720" w:footer="720" w:gutter="0"/>
          <w:cols w:space="720"/>
        </w:sectPr>
      </w:pPr>
    </w:p>
    <w:p w:rsidR="003C1D2B" w:rsidRDefault="001D6EAF">
      <w:pPr>
        <w:pStyle w:val="Ttulo1"/>
        <w:spacing w:before="82"/>
      </w:pPr>
      <w:bookmarkStart w:id="1" w:name="_TOC_250003"/>
      <w:bookmarkEnd w:id="1"/>
      <w:r>
        <w:lastRenderedPageBreak/>
        <w:t>INTRODUCCION</w:t>
      </w:r>
    </w:p>
    <w:p w:rsidR="003C1D2B" w:rsidRDefault="003C1D2B">
      <w:pPr>
        <w:pStyle w:val="Textoindependiente"/>
        <w:spacing w:before="10"/>
        <w:rPr>
          <w:b/>
          <w:sz w:val="33"/>
        </w:rPr>
      </w:pPr>
    </w:p>
    <w:p w:rsidR="003C1D2B" w:rsidRDefault="001D6EAF">
      <w:pPr>
        <w:pStyle w:val="Textoindependiente"/>
        <w:spacing w:line="278" w:lineRule="auto"/>
        <w:ind w:left="1301" w:right="101"/>
        <w:jc w:val="both"/>
      </w:pPr>
      <w:r>
        <w:t>De conformidad con el nombramiento de auditoría 105291-1-2021, de fecha 01 de febrero de 2021, fui nombrado para realizar Auditoría Administrativa de seguimiento a las recomendaciones emitidas por la Dirección de Auditoría Interna, en el Informe CUA 88522-</w:t>
      </w:r>
      <w:r>
        <w:t>1-2020 “Auditoría administrativa de verificación del uso adecuado de caja chica y cupones de combustible en la Dirección General de Educación Bilingüe Intercultural -DIGEBI-, por el período del 01 de marzo al 15 de julio de 2020”, en la Dirección General d</w:t>
      </w:r>
      <w:r>
        <w:t>e Educación Bilingüe Intercultural</w:t>
      </w:r>
    </w:p>
    <w:p w:rsidR="003C1D2B" w:rsidRDefault="001D6EAF">
      <w:pPr>
        <w:spacing w:line="573" w:lineRule="auto"/>
        <w:ind w:left="1301" w:right="7545"/>
        <w:rPr>
          <w:b/>
          <w:sz w:val="24"/>
        </w:rPr>
      </w:pPr>
      <w:r>
        <w:rPr>
          <w:sz w:val="24"/>
        </w:rPr>
        <w:t xml:space="preserve">-DIGEBI-. </w:t>
      </w:r>
      <w:r>
        <w:rPr>
          <w:b/>
          <w:sz w:val="24"/>
        </w:rPr>
        <w:t>OBJETIVOS GENERAL</w:t>
      </w:r>
    </w:p>
    <w:p w:rsidR="003C1D2B" w:rsidRDefault="001D6EAF">
      <w:pPr>
        <w:pStyle w:val="Textoindependiente"/>
        <w:spacing w:line="278" w:lineRule="auto"/>
        <w:ind w:left="1301" w:right="103"/>
        <w:jc w:val="both"/>
      </w:pPr>
      <w:r>
        <w:t>Realizar seguimiento a las recomendaciones emitidas por la Dirección de Auditoría Interna -DIDAI-, en el informe CUA 88522-1-2020.</w:t>
      </w:r>
    </w:p>
    <w:p w:rsidR="003C1D2B" w:rsidRDefault="003C1D2B">
      <w:pPr>
        <w:pStyle w:val="Textoindependiente"/>
        <w:spacing w:before="8"/>
        <w:rPr>
          <w:sz w:val="26"/>
        </w:rPr>
      </w:pPr>
    </w:p>
    <w:p w:rsidR="003C1D2B" w:rsidRDefault="001D6EAF">
      <w:pPr>
        <w:ind w:left="1301"/>
        <w:rPr>
          <w:b/>
          <w:sz w:val="24"/>
        </w:rPr>
      </w:pPr>
      <w:r>
        <w:rPr>
          <w:b/>
          <w:sz w:val="24"/>
        </w:rPr>
        <w:t>ESPECIFICOS</w:t>
      </w:r>
    </w:p>
    <w:p w:rsidR="003C1D2B" w:rsidRDefault="003C1D2B">
      <w:pPr>
        <w:pStyle w:val="Textoindependiente"/>
        <w:spacing w:before="8"/>
        <w:rPr>
          <w:b/>
          <w:sz w:val="32"/>
        </w:rPr>
      </w:pPr>
    </w:p>
    <w:p w:rsidR="003C1D2B" w:rsidRDefault="001D6EAF">
      <w:pPr>
        <w:pStyle w:val="Textoindependiente"/>
        <w:ind w:left="1301"/>
        <w:jc w:val="both"/>
      </w:pPr>
      <w:r>
        <w:t>Verificar si existen recomendaciones implementadas, en proceso e incumplidas.</w:t>
      </w:r>
    </w:p>
    <w:p w:rsidR="003C1D2B" w:rsidRDefault="003C1D2B">
      <w:pPr>
        <w:pStyle w:val="Textoindependiente"/>
        <w:spacing w:before="9"/>
        <w:rPr>
          <w:sz w:val="32"/>
        </w:rPr>
      </w:pPr>
    </w:p>
    <w:p w:rsidR="003C1D2B" w:rsidRDefault="001D6EAF">
      <w:pPr>
        <w:pStyle w:val="Ttulo1"/>
      </w:pPr>
      <w:bookmarkStart w:id="2" w:name="_TOC_250002"/>
      <w:bookmarkEnd w:id="2"/>
      <w:r>
        <w:t>ALCANCE DE LA ACTIVIDAD</w:t>
      </w:r>
    </w:p>
    <w:p w:rsidR="003C1D2B" w:rsidRDefault="003C1D2B">
      <w:pPr>
        <w:pStyle w:val="Textoindependiente"/>
        <w:spacing w:before="10"/>
        <w:rPr>
          <w:b/>
          <w:sz w:val="33"/>
        </w:rPr>
      </w:pPr>
    </w:p>
    <w:p w:rsidR="003C1D2B" w:rsidRDefault="001D6EAF">
      <w:pPr>
        <w:pStyle w:val="Textoindependiente"/>
        <w:spacing w:line="278" w:lineRule="auto"/>
        <w:ind w:left="1301" w:right="99"/>
        <w:jc w:val="both"/>
      </w:pPr>
      <w:r>
        <w:t>Se efectuó seguimiento a dos (2) recomendaciones con siete (7) incisos, emitidas por la Dirección de Auditoría Interna en el Informe CUA 88522-1-2020 “A</w:t>
      </w:r>
      <w:r>
        <w:t>uditoría administrativa de verificación del uso adecuado de caja chica y cupones de combustible en la Dirección General de Educación Bilingüe Intercultural -DIGEBI-, por el período del 01 de marzo al 15 de julio de 2020”.</w:t>
      </w:r>
    </w:p>
    <w:p w:rsidR="003C1D2B" w:rsidRDefault="003C1D2B">
      <w:pPr>
        <w:pStyle w:val="Textoindependiente"/>
        <w:spacing w:before="9"/>
        <w:rPr>
          <w:sz w:val="28"/>
        </w:rPr>
      </w:pPr>
    </w:p>
    <w:p w:rsidR="003C1D2B" w:rsidRDefault="001D6EAF">
      <w:pPr>
        <w:pStyle w:val="Ttulo1"/>
      </w:pPr>
      <w:bookmarkStart w:id="3" w:name="_TOC_250001"/>
      <w:bookmarkEnd w:id="3"/>
      <w:r>
        <w:t>RESULTADOS DE LA ACTIVIDAD</w:t>
      </w:r>
    </w:p>
    <w:p w:rsidR="003C1D2B" w:rsidRDefault="003C1D2B">
      <w:pPr>
        <w:pStyle w:val="Textoindependiente"/>
        <w:spacing w:before="9"/>
        <w:rPr>
          <w:b/>
          <w:sz w:val="33"/>
        </w:rPr>
      </w:pPr>
    </w:p>
    <w:p w:rsidR="003C1D2B" w:rsidRDefault="001D6EAF">
      <w:pPr>
        <w:pStyle w:val="Textoindependiente"/>
        <w:ind w:left="1301"/>
        <w:jc w:val="both"/>
      </w:pPr>
      <w:r>
        <w:t>El re</w:t>
      </w:r>
      <w:r>
        <w:t>sultado del trabajo se resume a</w:t>
      </w:r>
      <w:r>
        <w:rPr>
          <w:spacing w:val="-16"/>
        </w:rPr>
        <w:t xml:space="preserve"> </w:t>
      </w:r>
      <w:r>
        <w:t>continuación:</w:t>
      </w:r>
    </w:p>
    <w:p w:rsidR="003C1D2B" w:rsidRDefault="003C1D2B">
      <w:pPr>
        <w:pStyle w:val="Textoindependiente"/>
        <w:spacing w:before="8"/>
        <w:rPr>
          <w:sz w:val="31"/>
        </w:rPr>
      </w:pPr>
    </w:p>
    <w:p w:rsidR="003C1D2B" w:rsidRDefault="001D6EAF">
      <w:pPr>
        <w:ind w:left="1301"/>
        <w:rPr>
          <w:b/>
          <w:sz w:val="24"/>
        </w:rPr>
      </w:pPr>
      <w:r>
        <w:rPr>
          <w:b/>
          <w:sz w:val="24"/>
        </w:rPr>
        <w:t>RECOMENDACIONES IMPLEMENTADAS</w:t>
      </w:r>
      <w:r>
        <w:rPr>
          <w:b/>
          <w:spacing w:val="-28"/>
          <w:sz w:val="24"/>
        </w:rPr>
        <w:t xml:space="preserve"> </w:t>
      </w:r>
      <w:r>
        <w:rPr>
          <w:b/>
          <w:sz w:val="24"/>
        </w:rPr>
        <w:t>(SR1)</w:t>
      </w:r>
    </w:p>
    <w:p w:rsidR="003C1D2B" w:rsidRDefault="001D6EAF">
      <w:pPr>
        <w:pStyle w:val="Textoindependiente"/>
        <w:spacing w:before="56" w:line="278" w:lineRule="auto"/>
        <w:ind w:left="1301" w:right="101"/>
        <w:jc w:val="both"/>
      </w:pPr>
      <w:r>
        <w:t>De conformidad con el Formulario SR1, seguimiento a las recomendaciones firmado por los responsables, se estableció que las recomendaciones de los siguientes hallazgos fuero</w:t>
      </w:r>
      <w:r>
        <w:t>n implementadas:</w:t>
      </w:r>
    </w:p>
    <w:p w:rsidR="003C1D2B" w:rsidRDefault="003C1D2B">
      <w:pPr>
        <w:spacing w:line="278" w:lineRule="auto"/>
        <w:jc w:val="both"/>
        <w:sectPr w:rsidR="003C1D2B">
          <w:headerReference w:type="default" r:id="rId7"/>
          <w:footerReference w:type="default" r:id="rId8"/>
          <w:pgSz w:w="12240" w:h="15840"/>
          <w:pgMar w:top="1060" w:right="1600" w:bottom="780" w:left="400" w:header="617" w:footer="596" w:gutter="0"/>
          <w:pgNumType w:start="1"/>
          <w:cols w:space="720"/>
        </w:sectPr>
      </w:pPr>
    </w:p>
    <w:p w:rsidR="003C1D2B" w:rsidRDefault="001D6EAF">
      <w:pPr>
        <w:pStyle w:val="Textoindependiente"/>
        <w:spacing w:before="82" w:line="278" w:lineRule="auto"/>
        <w:ind w:left="1301" w:right="99" w:firstLine="6"/>
        <w:jc w:val="both"/>
      </w:pPr>
      <w:r>
        <w:rPr>
          <w:b/>
        </w:rPr>
        <w:lastRenderedPageBreak/>
        <w:t xml:space="preserve">No. 1 Deficiencias en la Administración de Cupones de Combustible </w:t>
      </w:r>
      <w:r>
        <w:t>inciso 1) debido a que se emitió el oficio VEBI No. 302-2020 de fecha 23 de diciembre de 2020, donde el Viceministro de Educación Bilingüe Intercultural autorizó la entrega de cupones de com</w:t>
      </w:r>
      <w:r>
        <w:t xml:space="preserve">bustible, del 01 de marzo al 13 de mayo de 2020, únicamente para el personal que efectivamente realizó actividades relacionadas con el Programa #Aprendo en Casa, el Plan Operativo Anual y otras que conllevan la </w:t>
      </w:r>
      <w:r>
        <w:rPr>
          <w:spacing w:val="2"/>
        </w:rPr>
        <w:t xml:space="preserve">prestación </w:t>
      </w:r>
      <w:r>
        <w:t xml:space="preserve">del </w:t>
      </w:r>
      <w:r>
        <w:rPr>
          <w:spacing w:val="2"/>
        </w:rPr>
        <w:t xml:space="preserve">servicio </w:t>
      </w:r>
      <w:r>
        <w:t xml:space="preserve">de </w:t>
      </w:r>
      <w:r>
        <w:rPr>
          <w:spacing w:val="2"/>
        </w:rPr>
        <w:t>Educación Bilingüe</w:t>
      </w:r>
      <w:r>
        <w:rPr>
          <w:spacing w:val="2"/>
        </w:rPr>
        <w:t xml:space="preserve"> Intercultural, bajo estricta </w:t>
      </w:r>
      <w:r>
        <w:t>responsabilidad del Director, el monto confirmado por actividades que cumplen con lo indicado en el oficio es de</w:t>
      </w:r>
      <w:r>
        <w:rPr>
          <w:spacing w:val="-12"/>
        </w:rPr>
        <w:t xml:space="preserve"> </w:t>
      </w:r>
      <w:r>
        <w:t>Q.44,100.00.</w:t>
      </w:r>
    </w:p>
    <w:p w:rsidR="003C1D2B" w:rsidRDefault="003C1D2B">
      <w:pPr>
        <w:pStyle w:val="Textoindependiente"/>
        <w:spacing w:before="6"/>
        <w:rPr>
          <w:sz w:val="28"/>
        </w:rPr>
      </w:pPr>
    </w:p>
    <w:p w:rsidR="003C1D2B" w:rsidRDefault="001D6EAF">
      <w:pPr>
        <w:pStyle w:val="Textoindependiente"/>
        <w:spacing w:line="278" w:lineRule="auto"/>
        <w:ind w:left="1301" w:right="99" w:firstLine="19"/>
        <w:jc w:val="both"/>
      </w:pPr>
      <w:r>
        <w:rPr>
          <w:b/>
        </w:rPr>
        <w:t xml:space="preserve">No. 2 Pago de servicio de taxi, sin autorización correspondiente, </w:t>
      </w:r>
      <w:r>
        <w:t>inciso 1) debido a que se emitió el oficio VEBI No. 302-2020 de fecha 23 de diciembre de 2020, donde el Viceministro de Educación Bilingüe Intercultural autorizó el pago de taxi, del 01 de marzo al 13 de mayo de 2020, únicamente para el personal que efecti</w:t>
      </w:r>
      <w:r>
        <w:t>vamente realizó actividades relacionadas con el Programa #Aprendo en Casa, el Plan Operativo Anual y otras que conllevan la prestación del servicio de Educación Bilingüe Intercultural, bajo estricta responsabilidad del Director, el monto confirmado por act</w:t>
      </w:r>
      <w:r>
        <w:t>ividades que cumplen con lo indicado en el oficio es de Q.1,969.00.</w:t>
      </w:r>
    </w:p>
    <w:p w:rsidR="003C1D2B" w:rsidRDefault="003C1D2B">
      <w:pPr>
        <w:pStyle w:val="Textoindependiente"/>
        <w:spacing w:before="4"/>
        <w:rPr>
          <w:sz w:val="28"/>
        </w:rPr>
      </w:pPr>
    </w:p>
    <w:p w:rsidR="003C1D2B" w:rsidRDefault="001D6EAF">
      <w:pPr>
        <w:pStyle w:val="Textoindependiente"/>
        <w:spacing w:line="278" w:lineRule="auto"/>
        <w:ind w:left="1301" w:right="101"/>
        <w:jc w:val="both"/>
      </w:pPr>
      <w:r>
        <w:t>El beneficio y resultado de la implementación de las recomendaciones, propicia asegurar el cumplimiento de los requisitos legales y formales de los controles internos, que facilitan la to</w:t>
      </w:r>
      <w:r>
        <w:t>ma de decisiones y evitan posteriores sanciones por parte del ente fiscalizador.</w:t>
      </w:r>
    </w:p>
    <w:p w:rsidR="003C1D2B" w:rsidRDefault="003C1D2B">
      <w:pPr>
        <w:pStyle w:val="Textoindependiente"/>
        <w:spacing w:before="8"/>
        <w:rPr>
          <w:sz w:val="27"/>
        </w:rPr>
      </w:pPr>
    </w:p>
    <w:p w:rsidR="003C1D2B" w:rsidRDefault="001D6EAF">
      <w:pPr>
        <w:ind w:left="1301"/>
        <w:jc w:val="both"/>
        <w:rPr>
          <w:b/>
          <w:sz w:val="24"/>
        </w:rPr>
      </w:pPr>
      <w:r>
        <w:rPr>
          <w:b/>
          <w:sz w:val="24"/>
        </w:rPr>
        <w:t>RECOMENDACIONES EN PROCESO (SR1)</w:t>
      </w:r>
    </w:p>
    <w:p w:rsidR="003C1D2B" w:rsidRDefault="001D6EAF">
      <w:pPr>
        <w:pStyle w:val="Textoindependiente"/>
        <w:spacing w:before="56" w:line="278" w:lineRule="auto"/>
        <w:ind w:left="1301" w:right="101"/>
        <w:jc w:val="both"/>
      </w:pPr>
      <w:r>
        <w:t>De conformidad con el Formulario SR1, seguimiento a las recomendaciones firmado por los responsables, se estableció que las recomendaciones d</w:t>
      </w:r>
      <w:r>
        <w:t>e los siguientes hallazgos están en proceso:</w:t>
      </w:r>
    </w:p>
    <w:p w:rsidR="003C1D2B" w:rsidRDefault="003C1D2B">
      <w:pPr>
        <w:pStyle w:val="Textoindependiente"/>
        <w:spacing w:before="8"/>
        <w:rPr>
          <w:sz w:val="27"/>
        </w:rPr>
      </w:pPr>
    </w:p>
    <w:p w:rsidR="003C1D2B" w:rsidRDefault="001D6EAF">
      <w:pPr>
        <w:ind w:left="1299"/>
        <w:jc w:val="both"/>
        <w:rPr>
          <w:sz w:val="24"/>
        </w:rPr>
      </w:pPr>
      <w:r>
        <w:rPr>
          <w:b/>
          <w:sz w:val="24"/>
        </w:rPr>
        <w:t xml:space="preserve">No. 1 Deficiencias en la Administración de Cupones de Combustible, </w:t>
      </w:r>
      <w:r>
        <w:rPr>
          <w:sz w:val="24"/>
        </w:rPr>
        <w:t>numeral</w:t>
      </w:r>
    </w:p>
    <w:p w:rsidR="003C1D2B" w:rsidRDefault="001D6EAF">
      <w:pPr>
        <w:pStyle w:val="Textoindependiente"/>
        <w:spacing w:before="56" w:line="278" w:lineRule="auto"/>
        <w:ind w:left="1301" w:right="99"/>
        <w:jc w:val="both"/>
      </w:pPr>
      <w:r>
        <w:t>2) debido a que está pendiente el reintegro de Q. 6,200.00, monto que estaba fuera del período autorizado 01/03/2020 al 13/05/2020 (ver</w:t>
      </w:r>
      <w:r>
        <w:t xml:space="preserve"> anexo 1 del SARA), en el oficio VEBI No. 302-2020 de fecha 23 de diciembre de 2020, emitido por el Viceministro Bilingüe Intercultural; numeral 3) debido a que solo se ha girado la instrucción, quedando pendiente la implementación y numeral 4) debido a qu</w:t>
      </w:r>
      <w:r>
        <w:t>e la DIGEBI no obstante solicitó opinión a la Dirección de Asesoría Jurídica, sobre las Políticas Internas para otorgar Cupones de Combustible al personal que labora   en la -DIGEBI-, aún se encuentra pendiente de respuesta y de su</w:t>
      </w:r>
      <w:r>
        <w:rPr>
          <w:spacing w:val="-45"/>
        </w:rPr>
        <w:t xml:space="preserve"> </w:t>
      </w:r>
      <w:r>
        <w:t>implementación.</w:t>
      </w:r>
    </w:p>
    <w:p w:rsidR="003C1D2B" w:rsidRDefault="003C1D2B">
      <w:pPr>
        <w:pStyle w:val="Textoindependiente"/>
        <w:spacing w:before="5"/>
        <w:rPr>
          <w:sz w:val="27"/>
        </w:rPr>
      </w:pPr>
    </w:p>
    <w:p w:rsidR="003C1D2B" w:rsidRDefault="001D6EAF">
      <w:pPr>
        <w:spacing w:line="288" w:lineRule="auto"/>
        <w:ind w:left="1301" w:right="100" w:hanging="24"/>
        <w:jc w:val="both"/>
        <w:rPr>
          <w:sz w:val="24"/>
        </w:rPr>
      </w:pPr>
      <w:r>
        <w:rPr>
          <w:b/>
          <w:sz w:val="24"/>
        </w:rPr>
        <w:t>No. 2 P</w:t>
      </w:r>
      <w:r>
        <w:rPr>
          <w:b/>
          <w:sz w:val="24"/>
        </w:rPr>
        <w:t>ago de servicio de taxi, sin autorización correspondiente</w:t>
      </w:r>
      <w:r>
        <w:rPr>
          <w:sz w:val="24"/>
        </w:rPr>
        <w:t>, numeral 2) debido a que está pendiente el reintegro de Q. 60.00 (ver anexo 2 del SARA),</w:t>
      </w:r>
    </w:p>
    <w:p w:rsidR="003C1D2B" w:rsidRDefault="003C1D2B">
      <w:pPr>
        <w:spacing w:line="288" w:lineRule="auto"/>
        <w:jc w:val="both"/>
        <w:rPr>
          <w:sz w:val="24"/>
        </w:rPr>
        <w:sectPr w:rsidR="003C1D2B">
          <w:pgSz w:w="12240" w:h="15840"/>
          <w:pgMar w:top="1060" w:right="1600" w:bottom="780" w:left="400" w:header="617" w:footer="596" w:gutter="0"/>
          <w:cols w:space="720"/>
        </w:sectPr>
      </w:pPr>
    </w:p>
    <w:p w:rsidR="003C1D2B" w:rsidRDefault="001D6EAF">
      <w:pPr>
        <w:pStyle w:val="Textoindependiente"/>
        <w:spacing w:before="82" w:line="278" w:lineRule="auto"/>
        <w:ind w:left="1301" w:right="100"/>
        <w:jc w:val="both"/>
      </w:pPr>
      <w:r>
        <w:lastRenderedPageBreak/>
        <w:t>monto que estaba fuera del período autorizado 01/03/2020 al 13/05/2020, en el oficio VEBI No. 302-2020 de fecha 23 de diciembre de 2020, emitido por el Viceministro Bilingüe Intercultural y numeral 3) debido a que no obstante se giró la instrucción, todaví</w:t>
      </w:r>
      <w:r>
        <w:t>a no ha sido implementada.</w:t>
      </w:r>
    </w:p>
    <w:p w:rsidR="003C1D2B" w:rsidRDefault="003C1D2B">
      <w:pPr>
        <w:pStyle w:val="Textoindependiente"/>
        <w:spacing w:before="8"/>
        <w:rPr>
          <w:sz w:val="28"/>
        </w:rPr>
      </w:pPr>
    </w:p>
    <w:p w:rsidR="003C1D2B" w:rsidRDefault="001D6EAF">
      <w:pPr>
        <w:pStyle w:val="Textoindependiente"/>
        <w:spacing w:line="278" w:lineRule="auto"/>
        <w:ind w:left="1301" w:right="103"/>
        <w:jc w:val="both"/>
      </w:pPr>
      <w:r>
        <w:t>El resultado que las recomendaciones estén en proceso propicia que se mantenga firme la acción correctiva y que exista atraso en el proceso administrativo, así mismo, riesgo de una posible sanción por parte del ente fiscalizador</w:t>
      </w:r>
      <w:r>
        <w:t>.</w:t>
      </w:r>
    </w:p>
    <w:p w:rsidR="003C1D2B" w:rsidRDefault="003C1D2B">
      <w:pPr>
        <w:pStyle w:val="Textoindependiente"/>
        <w:spacing w:before="8"/>
        <w:rPr>
          <w:sz w:val="27"/>
        </w:rPr>
      </w:pPr>
    </w:p>
    <w:p w:rsidR="003C1D2B" w:rsidRDefault="001D6EAF">
      <w:pPr>
        <w:ind w:left="1301"/>
        <w:jc w:val="both"/>
        <w:rPr>
          <w:b/>
          <w:sz w:val="24"/>
        </w:rPr>
      </w:pPr>
      <w:r>
        <w:rPr>
          <w:b/>
          <w:sz w:val="24"/>
        </w:rPr>
        <w:t>COMENTARIO DE AUDITORIA</w:t>
      </w:r>
    </w:p>
    <w:p w:rsidR="003C1D2B" w:rsidRDefault="001D6EAF">
      <w:pPr>
        <w:pStyle w:val="Textoindependiente"/>
        <w:spacing w:before="56" w:line="278" w:lineRule="auto"/>
        <w:ind w:left="1301" w:right="99"/>
        <w:jc w:val="both"/>
      </w:pPr>
      <w:r>
        <w:t xml:space="preserve">A través del acta No. DIDAI-12-2021 de fecha 17 de febrero de 2021, folios números 13625 y 13626 del libro L2 48636 autorizado por la Contraloría General de Cuentas de fecha 17 de febrero de 2020, los responsables de atender las </w:t>
      </w:r>
      <w:r>
        <w:t>recomendaciones que quedaron en proceso, se comprometieron en un plazo de treinta (30) días a cumplir con la implementación de las mismas.</w:t>
      </w: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spacing w:before="5"/>
        <w:rPr>
          <w:sz w:val="13"/>
        </w:rPr>
      </w:pPr>
    </w:p>
    <w:p w:rsidR="003C1D2B" w:rsidRDefault="00CF0EEA">
      <w:pPr>
        <w:tabs>
          <w:tab w:val="left" w:pos="5840"/>
        </w:tabs>
        <w:spacing w:line="20" w:lineRule="exact"/>
        <w:ind w:left="1436"/>
        <w:rPr>
          <w:sz w:val="2"/>
        </w:rPr>
      </w:pPr>
      <w:r>
        <w:rPr>
          <w:noProof/>
          <w:sz w:val="2"/>
          <w:lang w:val="es-GT" w:eastAsia="es-GT"/>
        </w:rPr>
        <mc:AlternateContent>
          <mc:Choice Requires="wpg">
            <w:drawing>
              <wp:inline distT="0" distB="0" distL="0" distR="0">
                <wp:extent cx="1805305" cy="9525"/>
                <wp:effectExtent l="3810" t="0" r="635" b="3810"/>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305" cy="9525"/>
                          <a:chOff x="0" y="0"/>
                          <a:chExt cx="2843" cy="15"/>
                        </a:xfrm>
                      </wpg:grpSpPr>
                      <wps:wsp>
                        <wps:cNvPr id="27" name="Rectangle 9"/>
                        <wps:cNvSpPr>
                          <a:spLocks noChangeArrowheads="1"/>
                        </wps:cNvSpPr>
                        <wps:spPr bwMode="auto">
                          <a:xfrm>
                            <a:off x="0" y="0"/>
                            <a:ext cx="284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CC91FC" id="Group 8" o:spid="_x0000_s1026" style="width:142.15pt;height:.75pt;mso-position-horizontal-relative:char;mso-position-vertical-relative:line" coordsize="28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">
                <v:rect id="Rectangle 9" o:spid="_x0000_s1027" style="position:absolute;width:284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w10:anchorlock/>
              </v:group>
            </w:pict>
          </mc:Fallback>
        </mc:AlternateContent>
      </w:r>
      <w:r w:rsidR="001D6EAF">
        <w:rPr>
          <w:sz w:val="2"/>
        </w:rPr>
        <w:tab/>
      </w:r>
      <w:r>
        <w:rPr>
          <w:noProof/>
          <w:sz w:val="2"/>
          <w:lang w:val="es-GT" w:eastAsia="es-GT"/>
        </w:rPr>
        <mc:AlternateContent>
          <mc:Choice Requires="wpg">
            <w:drawing>
              <wp:inline distT="0" distB="0" distL="0" distR="0">
                <wp:extent cx="1666875" cy="9525"/>
                <wp:effectExtent l="0" t="0" r="0" b="3810"/>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5" name="Rectangle 7"/>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22AD98" id="Group 6"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B7xgIAAEg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sG8ge8YCAABIBgAADgAAAAAAAAAAAAAAAAAuAgAAZHJzL2Uyb0RvYy54bWxQSwECLQAUAAYA&#10;CAAAACEASX8DNtoAAAADAQAADwAAAAAAAAAAAAAAAAAgBQAAZHJzL2Rvd25yZXYueG1sUEsFBgAA&#10;AAAEAAQA8wAAACcGAAAAAA==&#10;">
                <v:rect id="Rectangle 7"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anchorlock/>
              </v:group>
            </w:pict>
          </mc:Fallback>
        </mc:AlternateContent>
      </w:r>
    </w:p>
    <w:p w:rsidR="003C1D2B" w:rsidRDefault="003C1D2B">
      <w:pPr>
        <w:spacing w:line="20" w:lineRule="exact"/>
        <w:rPr>
          <w:sz w:val="2"/>
        </w:rPr>
        <w:sectPr w:rsidR="003C1D2B">
          <w:pgSz w:w="12240" w:h="15840"/>
          <w:pgMar w:top="1060" w:right="1600" w:bottom="780" w:left="400" w:header="617" w:footer="596" w:gutter="0"/>
          <w:cols w:space="720"/>
        </w:sectPr>
      </w:pPr>
    </w:p>
    <w:p w:rsidR="003C1D2B" w:rsidRDefault="001D6EAF">
      <w:pPr>
        <w:spacing w:before="20"/>
        <w:ind w:left="1451"/>
        <w:rPr>
          <w:sz w:val="14"/>
        </w:rPr>
      </w:pPr>
      <w:r>
        <w:rPr>
          <w:sz w:val="14"/>
        </w:rPr>
        <w:lastRenderedPageBreak/>
        <w:t>DELMAR GEREMIAS LOPEZ CAMPOSECO</w:t>
      </w:r>
    </w:p>
    <w:p w:rsidR="003C1D2B" w:rsidRDefault="001D6EAF">
      <w:pPr>
        <w:spacing w:before="85"/>
        <w:ind w:left="1451"/>
        <w:rPr>
          <w:sz w:val="14"/>
        </w:rPr>
      </w:pPr>
      <w:r>
        <w:rPr>
          <w:sz w:val="14"/>
        </w:rPr>
        <w:t>Auditor</w:t>
      </w:r>
    </w:p>
    <w:p w:rsidR="003C1D2B" w:rsidRDefault="001D6EAF">
      <w:pPr>
        <w:spacing w:before="20"/>
        <w:ind w:left="1451"/>
        <w:rPr>
          <w:sz w:val="14"/>
        </w:rPr>
      </w:pPr>
      <w:r>
        <w:br w:type="column"/>
      </w:r>
      <w:r>
        <w:rPr>
          <w:sz w:val="14"/>
        </w:rPr>
        <w:lastRenderedPageBreak/>
        <w:t>MILDRED LORENA FUENTES DE LEON</w:t>
      </w:r>
    </w:p>
    <w:p w:rsidR="003C1D2B" w:rsidRDefault="001D6EAF">
      <w:pPr>
        <w:spacing w:before="85"/>
        <w:ind w:left="1451"/>
        <w:rPr>
          <w:sz w:val="14"/>
        </w:rPr>
      </w:pPr>
      <w:r>
        <w:rPr>
          <w:sz w:val="14"/>
        </w:rPr>
        <w:t>Supervisor</w:t>
      </w:r>
    </w:p>
    <w:p w:rsidR="003C1D2B" w:rsidRDefault="003C1D2B">
      <w:pPr>
        <w:rPr>
          <w:sz w:val="14"/>
        </w:rPr>
        <w:sectPr w:rsidR="003C1D2B">
          <w:type w:val="continuous"/>
          <w:pgSz w:w="12240" w:h="15840"/>
          <w:pgMar w:top="1080" w:right="1600" w:bottom="0" w:left="400" w:header="720" w:footer="720" w:gutter="0"/>
          <w:cols w:num="2" w:space="720" w:equalWidth="0">
            <w:col w:w="4301" w:space="103"/>
            <w:col w:w="5836"/>
          </w:cols>
        </w:sect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rPr>
          <w:sz w:val="20"/>
        </w:rPr>
      </w:pPr>
    </w:p>
    <w:p w:rsidR="003C1D2B" w:rsidRDefault="003C1D2B">
      <w:pPr>
        <w:pStyle w:val="Textoindependiente"/>
        <w:spacing w:before="1"/>
        <w:rPr>
          <w:sz w:val="20"/>
        </w:rPr>
      </w:pPr>
    </w:p>
    <w:p w:rsidR="003C1D2B" w:rsidRDefault="00CF0EEA">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4445"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3"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40A825"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YcxgIAAEg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qNRWHM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r w:rsidR="001D6EAF">
        <w:rPr>
          <w:sz w:val="2"/>
        </w:rPr>
        <w:tab/>
      </w:r>
      <w:r>
        <w:rPr>
          <w:noProof/>
          <w:sz w:val="2"/>
          <w:lang w:val="es-GT" w:eastAsia="es-GT"/>
        </w:rPr>
        <mc:AlternateContent>
          <mc:Choice Requires="wpg">
            <w:drawing>
              <wp:inline distT="0" distB="0" distL="0" distR="0">
                <wp:extent cx="1449070" cy="9525"/>
                <wp:effectExtent l="0" t="4445"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69680B"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3C1D2B" w:rsidRDefault="003C1D2B">
      <w:pPr>
        <w:spacing w:line="20" w:lineRule="exact"/>
        <w:rPr>
          <w:sz w:val="2"/>
        </w:rPr>
        <w:sectPr w:rsidR="003C1D2B">
          <w:type w:val="continuous"/>
          <w:pgSz w:w="12240" w:h="15840"/>
          <w:pgMar w:top="1080" w:right="1600" w:bottom="0" w:left="400" w:header="720" w:footer="720" w:gutter="0"/>
          <w:cols w:space="720"/>
        </w:sectPr>
      </w:pPr>
    </w:p>
    <w:p w:rsidR="003C1D2B" w:rsidRDefault="001D6EAF">
      <w:pPr>
        <w:spacing w:before="19"/>
        <w:ind w:left="1451"/>
        <w:rPr>
          <w:sz w:val="14"/>
        </w:rPr>
      </w:pPr>
      <w:r>
        <w:rPr>
          <w:sz w:val="14"/>
        </w:rPr>
        <w:lastRenderedPageBreak/>
        <w:t>MILDRED LORENA FUENTES DE LEON</w:t>
      </w:r>
    </w:p>
    <w:p w:rsidR="003C1D2B" w:rsidRDefault="001D6EAF">
      <w:pPr>
        <w:spacing w:before="86"/>
        <w:ind w:left="1451"/>
        <w:rPr>
          <w:sz w:val="14"/>
        </w:rPr>
      </w:pPr>
      <w:r>
        <w:rPr>
          <w:sz w:val="14"/>
        </w:rPr>
        <w:t>Sub Director</w:t>
      </w:r>
    </w:p>
    <w:p w:rsidR="003C1D2B" w:rsidRDefault="001D6EAF">
      <w:pPr>
        <w:spacing w:before="19"/>
        <w:ind w:left="1451"/>
        <w:rPr>
          <w:sz w:val="14"/>
        </w:rPr>
      </w:pPr>
      <w:r>
        <w:br w:type="column"/>
      </w:r>
      <w:r>
        <w:rPr>
          <w:sz w:val="14"/>
        </w:rPr>
        <w:lastRenderedPageBreak/>
        <w:t>JULIA VICTORIA MONZON PEREZ</w:t>
      </w:r>
    </w:p>
    <w:p w:rsidR="003C1D2B" w:rsidRDefault="001D6EAF">
      <w:pPr>
        <w:spacing w:before="86"/>
        <w:ind w:left="1451"/>
        <w:rPr>
          <w:sz w:val="14"/>
        </w:rPr>
      </w:pPr>
      <w:r>
        <w:rPr>
          <w:sz w:val="14"/>
        </w:rPr>
        <w:t>Director</w:t>
      </w:r>
    </w:p>
    <w:p w:rsidR="003C1D2B" w:rsidRDefault="003C1D2B">
      <w:pPr>
        <w:rPr>
          <w:sz w:val="14"/>
        </w:rPr>
        <w:sectPr w:rsidR="003C1D2B">
          <w:type w:val="continuous"/>
          <w:pgSz w:w="12240" w:h="15840"/>
          <w:pgMar w:top="1080" w:right="1600" w:bottom="0" w:left="400" w:header="720" w:footer="720" w:gutter="0"/>
          <w:cols w:num="2" w:space="720" w:equalWidth="0">
            <w:col w:w="4083" w:space="321"/>
            <w:col w:w="5836"/>
          </w:cols>
        </w:sectPr>
      </w:pPr>
    </w:p>
    <w:p w:rsidR="003C1D2B" w:rsidRDefault="001D6EAF">
      <w:pPr>
        <w:pStyle w:val="Ttulo1"/>
        <w:spacing w:before="82"/>
      </w:pPr>
      <w:bookmarkStart w:id="4" w:name="_TOC_250000"/>
      <w:bookmarkEnd w:id="4"/>
      <w:r>
        <w:lastRenderedPageBreak/>
        <w:t>ANEXOS</w:t>
      </w:r>
    </w:p>
    <w:p w:rsidR="003C1D2B" w:rsidRDefault="003C1D2B">
      <w:pPr>
        <w:pStyle w:val="Textoindependiente"/>
        <w:spacing w:before="1"/>
        <w:rPr>
          <w:b/>
          <w:sz w:val="29"/>
        </w:rPr>
      </w:pPr>
    </w:p>
    <w:p w:rsidR="003C1D2B" w:rsidRDefault="001D6EAF">
      <w:pPr>
        <w:spacing w:before="94"/>
        <w:ind w:left="2930"/>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261923</wp:posOffset>
            </wp:positionV>
            <wp:extent cx="5398597" cy="6940296"/>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98597" cy="6940296"/>
                    </a:xfrm>
                    <a:prstGeom prst="rect">
                      <a:avLst/>
                    </a:prstGeom>
                  </pic:spPr>
                </pic:pic>
              </a:graphicData>
            </a:graphic>
          </wp:anchor>
        </w:drawing>
      </w:r>
      <w:r>
        <w:rPr>
          <w:sz w:val="16"/>
        </w:rPr>
        <w:t>SR1</w:t>
      </w:r>
    </w:p>
    <w:p w:rsidR="003C1D2B" w:rsidRDefault="003C1D2B">
      <w:pPr>
        <w:rPr>
          <w:sz w:val="16"/>
        </w:rPr>
        <w:sectPr w:rsidR="003C1D2B">
          <w:pgSz w:w="12240" w:h="15840"/>
          <w:pgMar w:top="1060" w:right="1600" w:bottom="780" w:left="400" w:header="617" w:footer="596" w:gutter="0"/>
          <w:cols w:space="720"/>
        </w:sectPr>
      </w:pPr>
    </w:p>
    <w:p w:rsidR="003C1D2B" w:rsidRDefault="001D6EAF">
      <w:pPr>
        <w:spacing w:before="121"/>
        <w:ind w:left="2930"/>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279195</wp:posOffset>
            </wp:positionV>
            <wp:extent cx="5400732" cy="6940296"/>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400732" cy="6940296"/>
                    </a:xfrm>
                    <a:prstGeom prst="rect">
                      <a:avLst/>
                    </a:prstGeom>
                  </pic:spPr>
                </pic:pic>
              </a:graphicData>
            </a:graphic>
          </wp:anchor>
        </w:drawing>
      </w:r>
      <w:r>
        <w:rPr>
          <w:sz w:val="16"/>
        </w:rPr>
        <w:t>SR1</w:t>
      </w:r>
    </w:p>
    <w:p w:rsidR="003C1D2B" w:rsidRDefault="003C1D2B">
      <w:pPr>
        <w:rPr>
          <w:sz w:val="16"/>
        </w:rPr>
        <w:sectPr w:rsidR="003C1D2B">
          <w:pgSz w:w="12240" w:h="15840"/>
          <w:pgMar w:top="1060" w:right="1600" w:bottom="780" w:left="400" w:header="617" w:footer="596" w:gutter="0"/>
          <w:cols w:space="720"/>
        </w:sectPr>
      </w:pPr>
    </w:p>
    <w:p w:rsidR="003C1D2B" w:rsidRDefault="001D6EAF">
      <w:pPr>
        <w:spacing w:before="121"/>
        <w:ind w:left="2930"/>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1143373</wp:posOffset>
            </wp:positionH>
            <wp:positionV relativeFrom="paragraph">
              <wp:posOffset>279195</wp:posOffset>
            </wp:positionV>
            <wp:extent cx="5364428" cy="6940296"/>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364428" cy="6940296"/>
                    </a:xfrm>
                    <a:prstGeom prst="rect">
                      <a:avLst/>
                    </a:prstGeom>
                  </pic:spPr>
                </pic:pic>
              </a:graphicData>
            </a:graphic>
          </wp:anchor>
        </w:drawing>
      </w:r>
      <w:r>
        <w:rPr>
          <w:sz w:val="16"/>
        </w:rPr>
        <w:t>SR1</w:t>
      </w:r>
    </w:p>
    <w:p w:rsidR="003C1D2B" w:rsidRDefault="003C1D2B">
      <w:pPr>
        <w:rPr>
          <w:sz w:val="16"/>
        </w:rPr>
        <w:sectPr w:rsidR="003C1D2B">
          <w:pgSz w:w="12240" w:h="15840"/>
          <w:pgMar w:top="1060" w:right="1600" w:bottom="780" w:left="400" w:header="617" w:footer="596" w:gutter="0"/>
          <w:cols w:space="720"/>
        </w:sectPr>
      </w:pPr>
    </w:p>
    <w:p w:rsidR="003C1D2B" w:rsidRDefault="001D6EAF">
      <w:pPr>
        <w:spacing w:before="121"/>
        <w:ind w:left="2930"/>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279195</wp:posOffset>
            </wp:positionV>
            <wp:extent cx="5398597" cy="6940296"/>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398597" cy="6940296"/>
                    </a:xfrm>
                    <a:prstGeom prst="rect">
                      <a:avLst/>
                    </a:prstGeom>
                  </pic:spPr>
                </pic:pic>
              </a:graphicData>
            </a:graphic>
          </wp:anchor>
        </w:drawing>
      </w:r>
      <w:r>
        <w:rPr>
          <w:sz w:val="16"/>
        </w:rPr>
        <w:t>SR1</w:t>
      </w:r>
    </w:p>
    <w:p w:rsidR="003C1D2B" w:rsidRDefault="003C1D2B">
      <w:pPr>
        <w:rPr>
          <w:sz w:val="16"/>
        </w:rPr>
        <w:sectPr w:rsidR="003C1D2B">
          <w:pgSz w:w="12240" w:h="15840"/>
          <w:pgMar w:top="1060" w:right="1600" w:bottom="780" w:left="400" w:header="617" w:footer="596" w:gutter="0"/>
          <w:cols w:space="720"/>
        </w:sectPr>
      </w:pPr>
    </w:p>
    <w:p w:rsidR="003C1D2B" w:rsidRDefault="001D6EAF">
      <w:pPr>
        <w:spacing w:before="121"/>
        <w:ind w:left="2930"/>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279195</wp:posOffset>
            </wp:positionV>
            <wp:extent cx="5398597" cy="6940296"/>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398597" cy="6940296"/>
                    </a:xfrm>
                    <a:prstGeom prst="rect">
                      <a:avLst/>
                    </a:prstGeom>
                  </pic:spPr>
                </pic:pic>
              </a:graphicData>
            </a:graphic>
          </wp:anchor>
        </w:drawing>
      </w:r>
      <w:r>
        <w:rPr>
          <w:sz w:val="16"/>
        </w:rPr>
        <w:t>SR1</w:t>
      </w:r>
    </w:p>
    <w:p w:rsidR="003C1D2B" w:rsidRDefault="003C1D2B">
      <w:pPr>
        <w:rPr>
          <w:sz w:val="16"/>
        </w:rPr>
        <w:sectPr w:rsidR="003C1D2B">
          <w:pgSz w:w="12240" w:h="15840"/>
          <w:pgMar w:top="1060" w:right="1600" w:bottom="780" w:left="400" w:header="617" w:footer="596" w:gutter="0"/>
          <w:cols w:space="720"/>
        </w:sectPr>
      </w:pPr>
    </w:p>
    <w:p w:rsidR="003C1D2B" w:rsidRDefault="001D6EAF">
      <w:pPr>
        <w:spacing w:before="121"/>
        <w:ind w:left="2930"/>
        <w:rPr>
          <w:sz w:val="16"/>
        </w:rPr>
      </w:pPr>
      <w:r>
        <w:rPr>
          <w:sz w:val="16"/>
        </w:rPr>
        <w:lastRenderedPageBreak/>
        <w:t>SR1</w:t>
      </w:r>
    </w:p>
    <w:p w:rsidR="003C1D2B" w:rsidRDefault="001D6EAF">
      <w:pPr>
        <w:pStyle w:val="Textoindependiente"/>
        <w:spacing w:before="2"/>
        <w:rPr>
          <w:sz w:val="13"/>
        </w:rPr>
      </w:pPr>
      <w:r>
        <w:rPr>
          <w:noProof/>
          <w:lang w:val="es-GT" w:eastAsia="es-GT"/>
        </w:rPr>
        <w:drawing>
          <wp:anchor distT="0" distB="0" distL="0" distR="0" simplePos="0" relativeHeight="11" behindDoc="0" locked="0" layoutInCell="1" allowOverlap="1">
            <wp:simplePos x="0" y="0"/>
            <wp:positionH relativeFrom="page">
              <wp:posOffset>1143373</wp:posOffset>
            </wp:positionH>
            <wp:positionV relativeFrom="paragraph">
              <wp:posOffset>121082</wp:posOffset>
            </wp:positionV>
            <wp:extent cx="5364428" cy="6905244"/>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364428" cy="6905244"/>
                    </a:xfrm>
                    <a:prstGeom prst="rect">
                      <a:avLst/>
                    </a:prstGeom>
                  </pic:spPr>
                </pic:pic>
              </a:graphicData>
            </a:graphic>
          </wp:anchor>
        </w:drawing>
      </w:r>
    </w:p>
    <w:p w:rsidR="003C1D2B" w:rsidRDefault="003C1D2B">
      <w:pPr>
        <w:rPr>
          <w:sz w:val="13"/>
        </w:rPr>
        <w:sectPr w:rsidR="003C1D2B">
          <w:pgSz w:w="12240" w:h="15840"/>
          <w:pgMar w:top="1060" w:right="1600" w:bottom="780" w:left="400" w:header="617" w:footer="596" w:gutter="0"/>
          <w:cols w:space="720"/>
        </w:sectPr>
      </w:pPr>
    </w:p>
    <w:p w:rsidR="003C1D2B" w:rsidRDefault="001D6EAF">
      <w:pPr>
        <w:spacing w:before="121"/>
        <w:ind w:left="2930"/>
        <w:rPr>
          <w:sz w:val="16"/>
        </w:rPr>
      </w:pPr>
      <w:r>
        <w:rPr>
          <w:sz w:val="16"/>
        </w:rPr>
        <w:lastRenderedPageBreak/>
        <w:t>SR1</w:t>
      </w:r>
    </w:p>
    <w:p w:rsidR="003C1D2B" w:rsidRDefault="001D6EAF">
      <w:pPr>
        <w:pStyle w:val="Textoindependiente"/>
        <w:spacing w:before="2"/>
        <w:rPr>
          <w:sz w:val="13"/>
        </w:rPr>
      </w:pPr>
      <w:r>
        <w:rPr>
          <w:noProof/>
          <w:lang w:val="es-GT" w:eastAsia="es-GT"/>
        </w:rPr>
        <w:drawing>
          <wp:anchor distT="0" distB="0" distL="0" distR="0" simplePos="0" relativeHeight="12" behindDoc="0" locked="0" layoutInCell="1" allowOverlap="1">
            <wp:simplePos x="0" y="0"/>
            <wp:positionH relativeFrom="page">
              <wp:posOffset>1126041</wp:posOffset>
            </wp:positionH>
            <wp:positionV relativeFrom="paragraph">
              <wp:posOffset>121082</wp:posOffset>
            </wp:positionV>
            <wp:extent cx="5381512" cy="7150608"/>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381512" cy="7150608"/>
                    </a:xfrm>
                    <a:prstGeom prst="rect">
                      <a:avLst/>
                    </a:prstGeom>
                  </pic:spPr>
                </pic:pic>
              </a:graphicData>
            </a:graphic>
          </wp:anchor>
        </w:drawing>
      </w:r>
    </w:p>
    <w:p w:rsidR="003C1D2B" w:rsidRDefault="003C1D2B">
      <w:pPr>
        <w:rPr>
          <w:sz w:val="13"/>
        </w:rPr>
        <w:sectPr w:rsidR="003C1D2B">
          <w:pgSz w:w="12240" w:h="15840"/>
          <w:pgMar w:top="1060" w:right="1600" w:bottom="780" w:left="400" w:header="617" w:footer="596" w:gutter="0"/>
          <w:cols w:space="720"/>
        </w:sectPr>
      </w:pPr>
    </w:p>
    <w:p w:rsidR="003C1D2B" w:rsidRDefault="001D6EAF">
      <w:pPr>
        <w:spacing w:before="121"/>
        <w:ind w:left="2930"/>
        <w:rPr>
          <w:sz w:val="16"/>
        </w:rPr>
      </w:pPr>
      <w:r>
        <w:rPr>
          <w:sz w:val="16"/>
        </w:rPr>
        <w:lastRenderedPageBreak/>
        <w:t>SR1</w:t>
      </w:r>
    </w:p>
    <w:p w:rsidR="003C1D2B" w:rsidRDefault="001D6EAF">
      <w:pPr>
        <w:pStyle w:val="Textoindependiente"/>
        <w:spacing w:before="2"/>
        <w:rPr>
          <w:sz w:val="13"/>
        </w:rPr>
      </w:pPr>
      <w:r>
        <w:rPr>
          <w:noProof/>
          <w:lang w:val="es-GT" w:eastAsia="es-GT"/>
        </w:rPr>
        <w:drawing>
          <wp:anchor distT="0" distB="0" distL="0" distR="0" simplePos="0" relativeHeight="13" behindDoc="0" locked="0" layoutInCell="1" allowOverlap="1">
            <wp:simplePos x="0" y="0"/>
            <wp:positionH relativeFrom="page">
              <wp:posOffset>1108710</wp:posOffset>
            </wp:positionH>
            <wp:positionV relativeFrom="paragraph">
              <wp:posOffset>121082</wp:posOffset>
            </wp:positionV>
            <wp:extent cx="5398597" cy="7150608"/>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398597" cy="7150608"/>
                    </a:xfrm>
                    <a:prstGeom prst="rect">
                      <a:avLst/>
                    </a:prstGeom>
                  </pic:spPr>
                </pic:pic>
              </a:graphicData>
            </a:graphic>
          </wp:anchor>
        </w:drawing>
      </w:r>
    </w:p>
    <w:p w:rsidR="003C1D2B" w:rsidRDefault="003C1D2B">
      <w:pPr>
        <w:rPr>
          <w:sz w:val="13"/>
        </w:rPr>
        <w:sectPr w:rsidR="003C1D2B">
          <w:pgSz w:w="12240" w:h="15840"/>
          <w:pgMar w:top="1060" w:right="1600" w:bottom="780" w:left="400" w:header="617" w:footer="596" w:gutter="0"/>
          <w:cols w:space="720"/>
        </w:sectPr>
      </w:pPr>
    </w:p>
    <w:p w:rsidR="003C1D2B" w:rsidRDefault="001D6EAF">
      <w:pPr>
        <w:spacing w:before="121"/>
        <w:ind w:left="2389"/>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279195</wp:posOffset>
            </wp:positionV>
            <wp:extent cx="5398597" cy="7185659"/>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398597" cy="7185659"/>
                    </a:xfrm>
                    <a:prstGeom prst="rect">
                      <a:avLst/>
                    </a:prstGeom>
                  </pic:spPr>
                </pic:pic>
              </a:graphicData>
            </a:graphic>
          </wp:anchor>
        </w:drawing>
      </w:r>
      <w:r>
        <w:rPr>
          <w:sz w:val="16"/>
        </w:rPr>
        <w:t>Anexos</w:t>
      </w:r>
    </w:p>
    <w:sectPr w:rsidR="003C1D2B">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EAF" w:rsidRDefault="001D6EAF">
      <w:r>
        <w:separator/>
      </w:r>
    </w:p>
  </w:endnote>
  <w:endnote w:type="continuationSeparator" w:id="0">
    <w:p w:rsidR="001D6EAF" w:rsidRDefault="001D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D2B" w:rsidRDefault="00CF0EEA">
    <w:pPr>
      <w:pStyle w:val="Textoindependiente"/>
      <w:spacing w:line="14" w:lineRule="auto"/>
      <w:rPr>
        <w:sz w:val="20"/>
      </w:rPr>
    </w:pPr>
    <w:r>
      <w:rPr>
        <w:noProof/>
        <w:lang w:val="es-GT" w:eastAsia="es-GT"/>
      </w:rPr>
      <mc:AlternateContent>
        <mc:Choice Requires="wpg">
          <w:drawing>
            <wp:anchor distT="0" distB="0" distL="114300" distR="114300" simplePos="0" relativeHeight="48743833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C2A878" id="Group 3" o:spid="_x0000_s1026" style="position:absolute;margin-left:25pt;margin-top:748.2pt;width:502pt;height:28.8pt;z-index:-1587814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FUX4Lp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nbwzEAAAA2wAAAA8AAABkcnMvZG93bnJldi54bWxEj09rwkAQxe+FfodlhN7qxlKrRFcpFcHi&#10;qf7B65Ads8HsbMiuJvbTO4dCbzO8N+/9Zr7sfa1u1MYqsIHRMANFXARbcWngsF+/TkHFhGyxDkwG&#10;7hRhuXh+mmNuQ8c/dNulUkkIxxwNuJSaXOtYOPIYh6EhFu0cWo9J1rbUtsVOwn2t37LsQ3usWBoc&#10;NvTlqLjsrt5AMXXdfkvH1e87fY9Pk65ejd3ImJdB/zkDlahP/+a/640VfKGXX2QAv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nbwzEAAAA2wAAAA8AAAAAAAAAAAAAAAAA&#10;nwIAAGRycy9kb3ducmV2LnhtbFBLBQYAAAAABAAEAPcAAACQ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3884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D2B" w:rsidRDefault="001D6EAF">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3C1D2B" w:rsidRDefault="001D6EAF">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936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D2B" w:rsidRDefault="001D6EAF">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F0EEA">
                            <w:rPr>
                              <w:noProof/>
                              <w:color w:val="666666"/>
                              <w:sz w:val="1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3C1D2B" w:rsidRDefault="001D6EAF">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F0EEA">
                      <w:rPr>
                        <w:noProof/>
                        <w:color w:val="666666"/>
                        <w:sz w:val="1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EAF" w:rsidRDefault="001D6EAF">
      <w:r>
        <w:separator/>
      </w:r>
    </w:p>
  </w:footnote>
  <w:footnote w:type="continuationSeparator" w:id="0">
    <w:p w:rsidR="001D6EAF" w:rsidRDefault="001D6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D2B" w:rsidRDefault="00CF0EEA">
    <w:pPr>
      <w:pStyle w:val="Textoindependiente"/>
      <w:spacing w:line="14" w:lineRule="auto"/>
      <w:rPr>
        <w:sz w:val="20"/>
      </w:rPr>
    </w:pPr>
    <w:r>
      <w:rPr>
        <w:noProof/>
        <w:lang w:val="es-GT" w:eastAsia="es-GT"/>
      </w:rPr>
      <mc:AlternateContent>
        <mc:Choice Requires="wps">
          <w:drawing>
            <wp:anchor distT="0" distB="0" distL="114300" distR="114300" simplePos="0" relativeHeight="48743680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C683B" id="Freeform 8" o:spid="_x0000_s1026" style="position:absolute;margin-left:85.05pt;margin-top:40.1pt;width:442pt;height:.75pt;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3731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D2B" w:rsidRDefault="001D6EAF">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3C1D2B" w:rsidRDefault="001D6EAF">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782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D2B" w:rsidRDefault="001D6EAF">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3C1D2B" w:rsidRDefault="001D6EAF">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D2B"/>
    <w:rsid w:val="001D6EAF"/>
    <w:rsid w:val="003C1D2B"/>
    <w:rsid w:val="00CF0EE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D07246-A480-43CC-95DF-9F3601E6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940</Words>
  <Characters>5174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2021-04-05T16:02:00Z</dcterms:created>
  <dcterms:modified xsi:type="dcterms:W3CDTF">2021-04-05T16:02:00Z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