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1EEF5D50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AD4D4B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AD4D4B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AD4D4B" w:rsidRPr="00221810">
        <w:rPr>
          <w:rFonts w:ascii="Arial" w:hAnsi="Arial" w:cs="Arial"/>
          <w:sz w:val="22"/>
          <w:szCs w:val="22"/>
        </w:rPr>
        <w:t>, POR EL MONTO</w:t>
      </w:r>
      <w:r w:rsidR="00AD4D4B">
        <w:rPr>
          <w:rFonts w:ascii="Arial" w:hAnsi="Arial" w:cs="Arial"/>
          <w:sz w:val="22"/>
          <w:szCs w:val="22"/>
        </w:rPr>
        <w:t xml:space="preserve"> DE SIETE MILLONES DOSCIENTOS SEIS MIL CUATROCIENTOS CATORCE QUETZALES EXACTOS (Q.7,206,414.00)</w:t>
      </w:r>
      <w:r w:rsidR="00AD4D4B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AD4D4B">
        <w:rPr>
          <w:rFonts w:ascii="Arial" w:hAnsi="Arial" w:cs="Arial"/>
          <w:color w:val="000000" w:themeColor="text1"/>
          <w:sz w:val="22"/>
          <w:szCs w:val="22"/>
        </w:rPr>
        <w:t>---------------------------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44A7E7BE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 xml:space="preserve">las </w:t>
      </w:r>
      <w:r w:rsidR="005C1B6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5C1B61" w:rsidRPr="002B528B">
        <w:rPr>
          <w:rFonts w:ascii="Arial" w:hAnsi="Arial" w:cs="Arial"/>
          <w:sz w:val="22"/>
          <w:szCs w:val="22"/>
          <w:lang w:val="es-MX"/>
        </w:rPr>
        <w:t>de</w:t>
      </w:r>
      <w:r w:rsidR="00AD4D4B">
        <w:rPr>
          <w:rFonts w:ascii="Arial" w:hAnsi="Arial" w:cs="Arial"/>
          <w:sz w:val="22"/>
          <w:szCs w:val="22"/>
          <w:lang w:val="es-MX"/>
        </w:rPr>
        <w:t xml:space="preserve"> </w:t>
      </w:r>
      <w:r w:rsidR="00AD4D4B">
        <w:rPr>
          <w:rFonts w:ascii="Arial" w:hAnsi="Arial" w:cs="Arial"/>
          <w:sz w:val="22"/>
          <w:szCs w:val="22"/>
          <w:lang w:val="es-MX"/>
        </w:rPr>
        <w:t>El Progreso, Sacatepéquez, Escuintla, Santa Rosa, Sololá, Totonicapán, Quetzaltenango, Suchitepéquez, Retalhuleu, Huehuetenango, Quiché, Baja Verapaz, Petén, Zacapa, Jalapa, Jutiapa, Guatemala Norte, Guatemala Sur, Guatemala Occidente y Quiché Norte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AD4D4B">
        <w:rPr>
          <w:rFonts w:ascii="Arial" w:hAnsi="Arial" w:cs="Arial"/>
          <w:sz w:val="22"/>
          <w:szCs w:val="22"/>
        </w:rPr>
        <w:t>SIETE MILLONES DOSCIENTOS SEIS MIL CUATROCIENTOS CATORCE QUETZALES EXACTOS (Q.7,206,414.00)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5C1B61">
        <w:rPr>
          <w:rFonts w:ascii="Arial" w:hAnsi="Arial" w:cs="Arial"/>
          <w:sz w:val="22"/>
          <w:szCs w:val="22"/>
        </w:rPr>
        <w:t xml:space="preserve">, así como, </w:t>
      </w:r>
      <w:r w:rsidR="00D10386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 xml:space="preserve">s Escolares, Valija Didáctica,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C169B0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AD4D4B">
        <w:rPr>
          <w:rFonts w:ascii="Arial" w:eastAsia="Arial Unicode MS" w:hAnsi="Arial" w:cs="Arial"/>
          <w:sz w:val="22"/>
          <w:szCs w:val="22"/>
        </w:rPr>
        <w:t xml:space="preserve"> 34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AD4D4B">
        <w:rPr>
          <w:rFonts w:ascii="Arial" w:eastAsia="Arial Unicode MS" w:hAnsi="Arial" w:cs="Arial"/>
          <w:sz w:val="22"/>
          <w:szCs w:val="22"/>
        </w:rPr>
        <w:t>20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AD4D4B">
        <w:rPr>
          <w:rFonts w:ascii="Arial" w:eastAsia="Arial Unicode MS" w:hAnsi="Arial" w:cs="Arial"/>
          <w:sz w:val="22"/>
          <w:szCs w:val="22"/>
        </w:rPr>
        <w:t xml:space="preserve"> junio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804001">
        <w:rPr>
          <w:rFonts w:ascii="Arial" w:hAnsi="Arial" w:cs="Arial"/>
          <w:sz w:val="22"/>
          <w:szCs w:val="22"/>
        </w:rPr>
        <w:t xml:space="preserve"> 431 </w:t>
      </w:r>
      <w:r w:rsidR="001833EB">
        <w:rPr>
          <w:rFonts w:ascii="Arial" w:hAnsi="Arial" w:cs="Arial"/>
          <w:sz w:val="22"/>
          <w:szCs w:val="22"/>
        </w:rPr>
        <w:t xml:space="preserve">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AD4D4B">
        <w:rPr>
          <w:rFonts w:ascii="Arial" w:hAnsi="Arial" w:cs="Arial"/>
          <w:sz w:val="22"/>
          <w:szCs w:val="22"/>
        </w:rPr>
        <w:t>SIETE MILLONES DOSCIENTOS SEIS MIL CUATROCIENTOS CATORCE QUETZALES EXACTOS (Q.7,206,414.00)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</w:t>
      </w:r>
      <w:r w:rsidR="00AD4D4B">
        <w:rPr>
          <w:rFonts w:ascii="Arial" w:hAnsi="Arial" w:cs="Arial"/>
          <w:sz w:val="22"/>
          <w:szCs w:val="22"/>
        </w:rPr>
        <w:t>-------</w:t>
      </w:r>
    </w:p>
    <w:p w14:paraId="09C9ABA8" w14:textId="4FCBC4B8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FAD3C94" w14:textId="202B85D4" w:rsidR="009148C8" w:rsidRDefault="00597D77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597D77">
        <w:drawing>
          <wp:inline distT="0" distB="0" distL="0" distR="0" wp14:anchorId="6FB9E406" wp14:editId="54FC90FA">
            <wp:extent cx="5947575" cy="9226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09" cy="9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AD3F" w14:textId="51D0E175" w:rsidR="00597D77" w:rsidRDefault="00597D77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597D77">
        <w:lastRenderedPageBreak/>
        <w:drawing>
          <wp:inline distT="0" distB="0" distL="0" distR="0" wp14:anchorId="0E3566EC" wp14:editId="4A386207">
            <wp:extent cx="5955526" cy="328358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70" cy="328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71AD0" w14:textId="501B4BB5" w:rsidR="002A1322" w:rsidRDefault="002A1322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31813448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 xml:space="preserve">Institutos de Educación por Cooperativa de Enseñanza,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Organización de Padres de Familia 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4400F1">
        <w:rPr>
          <w:rFonts w:ascii="Arial" w:hAnsi="Arial" w:cs="Arial"/>
          <w:sz w:val="22"/>
          <w:szCs w:val="22"/>
        </w:rPr>
        <w:t xml:space="preserve">s Escolares,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4400F1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882616">
        <w:rPr>
          <w:rFonts w:ascii="Arial" w:hAnsi="Arial" w:cs="Arial"/>
          <w:sz w:val="22"/>
          <w:szCs w:val="22"/>
        </w:rPr>
        <w:t xml:space="preserve"> 507, 517, 518, 519, 525, 526, 527, 528, 529, 530, 531, 532, 533, 534, 535, 536, 537, 538, 539, 540, 541, 542, 543, 544, 545, 546 y 547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</w:t>
      </w:r>
      <w:r w:rsidR="003B6262">
        <w:rPr>
          <w:rFonts w:ascii="Arial" w:eastAsia="Arial Unicode MS" w:hAnsi="Arial" w:cs="Arial"/>
          <w:sz w:val="22"/>
          <w:szCs w:val="22"/>
        </w:rPr>
        <w:t>-------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774C67">
        <w:rPr>
          <w:rFonts w:ascii="Arial" w:eastAsia="Arial Unicode MS" w:hAnsi="Arial" w:cs="Arial"/>
          <w:sz w:val="22"/>
          <w:szCs w:val="22"/>
        </w:rPr>
        <w:t>----</w:t>
      </w:r>
      <w:r w:rsidR="00882616">
        <w:rPr>
          <w:rFonts w:ascii="Arial" w:eastAsia="Arial Unicode MS" w:hAnsi="Arial" w:cs="Arial"/>
          <w:sz w:val="22"/>
          <w:szCs w:val="22"/>
        </w:rPr>
        <w:t>---------------------------------------------------------------------------------------</w:t>
      </w:r>
    </w:p>
    <w:p w14:paraId="4969F125" w14:textId="20CF7778" w:rsidR="00A3122F" w:rsidRDefault="00A3122F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3E3B74AE" w14:textId="06533A6D" w:rsidR="00597D77" w:rsidRDefault="0079750A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79750A">
        <w:rPr>
          <w:rFonts w:eastAsia="Arial Unicode MS"/>
        </w:rPr>
        <w:drawing>
          <wp:inline distT="0" distB="0" distL="0" distR="0" wp14:anchorId="4E17B959" wp14:editId="039A4FD1">
            <wp:extent cx="5963478" cy="2393315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44" cy="23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4C55D" w14:textId="0A23E782" w:rsidR="0079750A" w:rsidRDefault="0079750A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79750A">
        <w:rPr>
          <w:rFonts w:eastAsia="Arial Unicode MS"/>
        </w:rPr>
        <w:lastRenderedPageBreak/>
        <w:drawing>
          <wp:inline distT="0" distB="0" distL="0" distR="0" wp14:anchorId="0B043075" wp14:editId="64109498">
            <wp:extent cx="5970905" cy="6534937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218" cy="654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55C0" w14:textId="77777777" w:rsidR="00087E43" w:rsidRDefault="00087E43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bookmarkStart w:id="2" w:name="_Hlk127363629"/>
    </w:p>
    <w:p w14:paraId="6553E7B6" w14:textId="1B20E77A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r w:rsidR="001E1845">
        <w:rPr>
          <w:rFonts w:ascii="Arial" w:hAnsi="Arial" w:cs="Arial"/>
          <w:sz w:val="22"/>
          <w:szCs w:val="22"/>
          <w:lang w:val="es-GT"/>
        </w:rPr>
        <w:t xml:space="preserve"> </w:t>
      </w:r>
      <w:r w:rsidR="001E1845" w:rsidRPr="00AE23D9">
        <w:rPr>
          <w:rFonts w:ascii="Arial" w:hAnsi="Arial" w:cs="Arial"/>
          <w:sz w:val="22"/>
          <w:szCs w:val="22"/>
        </w:rPr>
        <w:t>11 “Ingresos corriente</w:t>
      </w:r>
      <w:r w:rsidR="001E1845">
        <w:rPr>
          <w:rFonts w:ascii="Arial" w:hAnsi="Arial" w:cs="Arial"/>
          <w:sz w:val="22"/>
          <w:szCs w:val="22"/>
        </w:rPr>
        <w:t xml:space="preserve">s”, </w:t>
      </w:r>
      <w:r w:rsidR="001E1845" w:rsidRPr="00AE23D9">
        <w:rPr>
          <w:rFonts w:ascii="Arial" w:hAnsi="Arial" w:cs="Arial"/>
          <w:sz w:val="22"/>
          <w:szCs w:val="22"/>
        </w:rPr>
        <w:t xml:space="preserve">por </w:t>
      </w:r>
      <w:r w:rsidR="001E1845">
        <w:rPr>
          <w:rFonts w:ascii="Arial" w:hAnsi="Arial" w:cs="Arial"/>
          <w:sz w:val="22"/>
          <w:szCs w:val="22"/>
        </w:rPr>
        <w:t xml:space="preserve">el monto de </w:t>
      </w:r>
      <w:r w:rsidR="001E1845" w:rsidRPr="00AE23D9">
        <w:rPr>
          <w:rFonts w:ascii="Arial" w:hAnsi="Arial" w:cs="Arial"/>
          <w:sz w:val="22"/>
          <w:szCs w:val="22"/>
        </w:rPr>
        <w:t>Q.</w:t>
      </w:r>
      <w:r w:rsidR="001E1845">
        <w:rPr>
          <w:rFonts w:ascii="Arial" w:hAnsi="Arial" w:cs="Arial"/>
          <w:sz w:val="22"/>
          <w:szCs w:val="22"/>
        </w:rPr>
        <w:t xml:space="preserve">2,325,934.00 y </w:t>
      </w:r>
      <w:r w:rsidR="001E1845" w:rsidRPr="00AE23D9">
        <w:rPr>
          <w:rFonts w:ascii="Arial" w:hAnsi="Arial" w:cs="Arial"/>
          <w:sz w:val="22"/>
          <w:szCs w:val="22"/>
        </w:rPr>
        <w:t>21 “Ingresos tributarios IVA Paz” por Q.</w:t>
      </w:r>
      <w:r w:rsidR="001E1845">
        <w:rPr>
          <w:rFonts w:ascii="Arial" w:hAnsi="Arial" w:cs="Arial"/>
          <w:sz w:val="22"/>
          <w:szCs w:val="22"/>
        </w:rPr>
        <w:t>4,880,480</w:t>
      </w:r>
      <w:r w:rsidR="001E1845" w:rsidRPr="00AE23D9">
        <w:rPr>
          <w:rFonts w:ascii="Arial" w:hAnsi="Arial" w:cs="Arial"/>
          <w:sz w:val="22"/>
          <w:szCs w:val="22"/>
        </w:rPr>
        <w:t>.00</w:t>
      </w:r>
      <w:r w:rsidR="001E184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E1845" w:rsidRPr="00AE23D9">
        <w:rPr>
          <w:rFonts w:ascii="Arial" w:hAnsi="Arial" w:cs="Arial"/>
          <w:sz w:val="22"/>
          <w:szCs w:val="22"/>
        </w:rPr>
        <w:t>para un total de Q.</w:t>
      </w:r>
      <w:r w:rsidR="001E1845">
        <w:rPr>
          <w:rFonts w:ascii="Arial" w:hAnsi="Arial" w:cs="Arial"/>
          <w:sz w:val="22"/>
          <w:szCs w:val="22"/>
        </w:rPr>
        <w:t>7,206,414</w:t>
      </w:r>
      <w:r w:rsidR="001E1845" w:rsidRPr="00AE23D9">
        <w:rPr>
          <w:rFonts w:ascii="Arial" w:hAnsi="Arial" w:cs="Arial"/>
          <w:sz w:val="22"/>
          <w:szCs w:val="22"/>
        </w:rPr>
        <w:t>.00</w:t>
      </w:r>
      <w:bookmarkEnd w:id="2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 xml:space="preserve">-SICOIN- los comprobantes de reprogramación de transferencias </w:t>
      </w:r>
      <w:r w:rsidR="00D156B6" w:rsidRPr="00D84F74">
        <w:rPr>
          <w:rFonts w:ascii="Arial" w:eastAsia="Arial Unicode MS" w:hAnsi="Arial" w:cs="Arial"/>
          <w:sz w:val="22"/>
          <w:szCs w:val="22"/>
        </w:rPr>
        <w:lastRenderedPageBreak/>
        <w:t>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las </w:t>
      </w:r>
      <w:r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Pr="002B528B">
        <w:rPr>
          <w:rFonts w:ascii="Arial" w:hAnsi="Arial" w:cs="Arial"/>
          <w:sz w:val="22"/>
          <w:szCs w:val="22"/>
          <w:lang w:val="es-MX"/>
        </w:rPr>
        <w:t>de</w:t>
      </w:r>
      <w:r w:rsidR="001E1845">
        <w:rPr>
          <w:rFonts w:ascii="Arial" w:hAnsi="Arial" w:cs="Arial"/>
          <w:sz w:val="22"/>
          <w:szCs w:val="22"/>
          <w:lang w:val="es-MX"/>
        </w:rPr>
        <w:t xml:space="preserve"> </w:t>
      </w:r>
      <w:r w:rsidR="001E1845">
        <w:rPr>
          <w:rFonts w:ascii="Arial" w:hAnsi="Arial" w:cs="Arial"/>
          <w:sz w:val="22"/>
          <w:szCs w:val="22"/>
          <w:lang w:val="es-MX"/>
        </w:rPr>
        <w:t>El Progreso, Sacatepéquez, Escuintla, Santa Rosa, Sololá, Totonicapán, Quetzaltenango, Suchitepéquez, Retalhuleu, Huehuetenango, Quiché, Baja Verapaz, Petén, Zacapa, Jalapa, Jutiapa, Guatemala Norte, Guatemala Sur, Guatemala Occidente y Quiché Norte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1E1845">
        <w:rPr>
          <w:rFonts w:ascii="Arial" w:eastAsia="Arial Unicode MS" w:hAnsi="Arial" w:cs="Arial"/>
          <w:color w:val="000000"/>
          <w:sz w:val="22"/>
          <w:szCs w:val="22"/>
        </w:rPr>
        <w:t>--------</w:t>
      </w:r>
    </w:p>
    <w:p w14:paraId="129FE500" w14:textId="77777777" w:rsidR="001E1845" w:rsidRDefault="001E1845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5CE8D1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5C8E49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CB8A19" w14:textId="77777777" w:rsidR="001E1845" w:rsidRDefault="001E1845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77D930F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77F8635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24C7E57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3B979657" w14:textId="77777777" w:rsidR="001E1845" w:rsidRDefault="001E18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6F4D10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5EC4743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476B71F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95BFBAD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D2E666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DDDCCFD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10E025E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17D9EBF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B3FF3FB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3F7FC1EB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33F3721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B32AFE6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292EC42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97E9ACA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904DFC5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B095EBC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218427CB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5F753E3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5C5A0DB2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5CC4487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86DA0E0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C15CD5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5133EB4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E596BD1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1789DE09" w14:textId="77777777" w:rsidR="001E1845" w:rsidRDefault="001E184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2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77BD0" w14:textId="77777777" w:rsidR="004A6B6F" w:rsidRDefault="004A6B6F" w:rsidP="001D1E50">
      <w:r>
        <w:separator/>
      </w:r>
    </w:p>
  </w:endnote>
  <w:endnote w:type="continuationSeparator" w:id="0">
    <w:p w14:paraId="2683745A" w14:textId="77777777" w:rsidR="004A6B6F" w:rsidRDefault="004A6B6F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C1C21" w14:textId="77777777" w:rsidR="004A6B6F" w:rsidRDefault="004A6B6F" w:rsidP="001D1E50">
      <w:r>
        <w:separator/>
      </w:r>
    </w:p>
  </w:footnote>
  <w:footnote w:type="continuationSeparator" w:id="0">
    <w:p w14:paraId="78DE2321" w14:textId="77777777" w:rsidR="004A6B6F" w:rsidRDefault="004A6B6F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2C1EF63F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1E1845">
      <w:rPr>
        <w:rFonts w:ascii="Arial" w:hAnsi="Arial" w:cs="Arial"/>
        <w:noProof/>
        <w:sz w:val="22"/>
        <w:szCs w:val="22"/>
      </w:rPr>
      <w:t>2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E1845">
      <w:rPr>
        <w:rFonts w:ascii="Arial" w:hAnsi="Arial" w:cs="Arial"/>
        <w:sz w:val="22"/>
        <w:szCs w:val="22"/>
      </w:rPr>
      <w:t>4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87E43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1845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77E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322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2F5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A6B6F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97D77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6353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0A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01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2616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22F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D4D4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5B7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674E6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5D"/>
    <w:rsid w:val="00EF099A"/>
    <w:rsid w:val="00EF2309"/>
    <w:rsid w:val="00EF2705"/>
    <w:rsid w:val="00EF2C79"/>
    <w:rsid w:val="00EF3770"/>
    <w:rsid w:val="00EF3AA3"/>
    <w:rsid w:val="00EF672F"/>
    <w:rsid w:val="00EF7200"/>
    <w:rsid w:val="00EF7D71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55EA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D6D6-8387-4091-B27A-C59AB0FE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7</cp:revision>
  <cp:lastPrinted>2024-01-31T21:38:00Z</cp:lastPrinted>
  <dcterms:created xsi:type="dcterms:W3CDTF">2024-06-27T22:28:00Z</dcterms:created>
  <dcterms:modified xsi:type="dcterms:W3CDTF">2024-06-27T22:40:00Z</dcterms:modified>
</cp:coreProperties>
</file>