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DAA" w:rsidRDefault="00DA4605">
      <w:pPr>
        <w:spacing w:before="71" w:line="290" w:lineRule="auto"/>
        <w:ind w:left="4439" w:right="2838" w:hanging="378"/>
        <w:rPr>
          <w:b/>
          <w:sz w:val="24"/>
        </w:rPr>
      </w:pPr>
      <w:bookmarkStart w:id="0" w:name="_GoBack"/>
      <w:bookmarkEnd w:id="0"/>
      <w:r>
        <w:rPr>
          <w:b/>
          <w:sz w:val="24"/>
        </w:rPr>
        <w:t>MINISTERIO DE EDUCACIÓN AUDITORIA INTERNA CUA No.:106949</w:t>
      </w: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302DAA">
      <w:pPr>
        <w:pStyle w:val="Textoindependiente"/>
        <w:rPr>
          <w:b/>
          <w:sz w:val="26"/>
        </w:rPr>
      </w:pPr>
    </w:p>
    <w:p w:rsidR="00302DAA" w:rsidRDefault="00DA4605">
      <w:pPr>
        <w:spacing w:before="185" w:line="340" w:lineRule="auto"/>
        <w:ind w:left="3767" w:right="2565" w:hanging="2"/>
        <w:jc w:val="center"/>
        <w:rPr>
          <w:b/>
          <w:sz w:val="24"/>
        </w:rPr>
      </w:pPr>
      <w:r>
        <w:rPr>
          <w:b/>
          <w:sz w:val="24"/>
        </w:rPr>
        <w:t>MINISTERIO DE EDUCACIÓN ACTIVIDADES ADMINISTRATIVAS</w:t>
      </w:r>
    </w:p>
    <w:p w:rsidR="00302DAA" w:rsidRDefault="00DA4605">
      <w:pPr>
        <w:spacing w:before="3" w:line="290" w:lineRule="auto"/>
        <w:ind w:left="2282" w:right="1096"/>
        <w:jc w:val="center"/>
        <w:rPr>
          <w:b/>
          <w:sz w:val="24"/>
        </w:rPr>
      </w:pPr>
      <w:r>
        <w:rPr>
          <w:b/>
          <w:sz w:val="24"/>
        </w:rPr>
        <w:t>Primer Seguimiento a la Auditoria de Sistemas Informaticos emitido por la Contraloria General de Cuentas, en la DIDEDUC de Peten</w:t>
      </w: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rPr>
          <w:b/>
          <w:sz w:val="20"/>
        </w:rPr>
      </w:pPr>
    </w:p>
    <w:p w:rsidR="00302DAA" w:rsidRDefault="00302DAA">
      <w:pPr>
        <w:pStyle w:val="Textoindependiente"/>
        <w:spacing w:before="9"/>
        <w:rPr>
          <w:b/>
        </w:rPr>
      </w:pPr>
    </w:p>
    <w:p w:rsidR="00302DAA" w:rsidRDefault="00DA4605">
      <w:pPr>
        <w:spacing w:before="92"/>
        <w:ind w:left="396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ENERO DE 2021</w:t>
      </w:r>
    </w:p>
    <w:p w:rsidR="00302DAA" w:rsidRDefault="00302DAA">
      <w:pPr>
        <w:rPr>
          <w:sz w:val="24"/>
        </w:rPr>
        <w:sectPr w:rsidR="00302DAA">
          <w:type w:val="continuous"/>
          <w:pgSz w:w="12240" w:h="15840"/>
          <w:pgMar w:top="1080" w:right="1600" w:bottom="0" w:left="400" w:header="720" w:footer="720" w:gutter="0"/>
          <w:cols w:space="720"/>
        </w:sectPr>
      </w:pPr>
    </w:p>
    <w:p w:rsidR="00302DAA" w:rsidRDefault="00DA4605">
      <w:pPr>
        <w:spacing w:before="71"/>
        <w:ind w:left="1587" w:right="1096"/>
        <w:jc w:val="center"/>
        <w:rPr>
          <w:b/>
          <w:sz w:val="24"/>
        </w:rPr>
      </w:pPr>
      <w:r>
        <w:rPr>
          <w:b/>
          <w:sz w:val="24"/>
        </w:rPr>
        <w:lastRenderedPageBreak/>
        <w:t>INDICE</w:t>
      </w:r>
    </w:p>
    <w:sdt>
      <w:sdtPr>
        <w:id w:val="-1205018411"/>
        <w:docPartObj>
          <w:docPartGallery w:val="Table of Contents"/>
          <w:docPartUnique/>
        </w:docPartObj>
      </w:sdtPr>
      <w:sdtEndPr/>
      <w:sdtContent>
        <w:p w:rsidR="00302DAA" w:rsidRDefault="00DA4605">
          <w:pPr>
            <w:pStyle w:val="TDC1"/>
            <w:tabs>
              <w:tab w:val="right" w:pos="9427"/>
            </w:tabs>
            <w:spacing w:before="741"/>
            <w:rPr>
              <w:b w:val="0"/>
            </w:rPr>
          </w:pPr>
          <w:hyperlink w:anchor="_TOC_250003" w:history="1">
            <w:r>
              <w:t>INTRODUCCION</w:t>
            </w:r>
            <w:r>
              <w:tab/>
            </w:r>
            <w:r>
              <w:rPr>
                <w:b w:val="0"/>
                <w:position w:val="-3"/>
              </w:rPr>
              <w:t>1</w:t>
            </w:r>
          </w:hyperlink>
        </w:p>
        <w:p w:rsidR="00302DAA" w:rsidRDefault="00DA4605">
          <w:pPr>
            <w:pStyle w:val="TDC1"/>
            <w:tabs>
              <w:tab w:val="right" w:pos="9427"/>
            </w:tabs>
            <w:rPr>
              <w:b w:val="0"/>
            </w:rPr>
          </w:pPr>
          <w:r>
            <w:t>OBJETIVOS</w:t>
          </w:r>
          <w:r>
            <w:tab/>
          </w:r>
          <w:r>
            <w:rPr>
              <w:b w:val="0"/>
              <w:position w:val="-3"/>
            </w:rPr>
            <w:t>1</w:t>
          </w:r>
        </w:p>
        <w:p w:rsidR="00302DAA" w:rsidRDefault="00DA4605">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302DAA" w:rsidRDefault="00DA4605">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302DAA" w:rsidRDefault="00DA4605">
          <w:pPr>
            <w:pStyle w:val="TDC1"/>
            <w:tabs>
              <w:tab w:val="right" w:pos="9427"/>
            </w:tabs>
            <w:spacing w:before="154"/>
            <w:rPr>
              <w:b w:val="0"/>
            </w:rPr>
          </w:pPr>
          <w:hyperlink w:anchor="_TOC_250000" w:history="1">
            <w:r>
              <w:t>ANEXOS</w:t>
            </w:r>
            <w:r>
              <w:tab/>
            </w:r>
            <w:r>
              <w:rPr>
                <w:b w:val="0"/>
                <w:position w:val="-3"/>
              </w:rPr>
              <w:t>4</w:t>
            </w:r>
          </w:hyperlink>
        </w:p>
      </w:sdtContent>
    </w:sdt>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DA4605">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302DAA" w:rsidRDefault="00302DAA">
      <w:pPr>
        <w:rPr>
          <w:sz w:val="18"/>
        </w:rPr>
        <w:sectPr w:rsidR="00302DAA">
          <w:pgSz w:w="12240" w:h="15840"/>
          <w:pgMar w:top="1080" w:right="1600" w:bottom="0" w:left="400" w:header="720" w:footer="720" w:gutter="0"/>
          <w:cols w:space="720"/>
        </w:sectPr>
      </w:pPr>
    </w:p>
    <w:p w:rsidR="00302DAA" w:rsidRDefault="00DA4605">
      <w:pPr>
        <w:pStyle w:val="Ttulo1"/>
        <w:spacing w:before="82"/>
      </w:pPr>
      <w:bookmarkStart w:id="1" w:name="_TOC_250003"/>
      <w:bookmarkEnd w:id="1"/>
      <w:r>
        <w:lastRenderedPageBreak/>
        <w:t>INTRODUCCION</w:t>
      </w:r>
    </w:p>
    <w:p w:rsidR="00302DAA" w:rsidRDefault="00302DAA">
      <w:pPr>
        <w:pStyle w:val="Textoindependiente"/>
        <w:spacing w:before="10"/>
        <w:rPr>
          <w:b/>
          <w:sz w:val="33"/>
        </w:rPr>
      </w:pPr>
    </w:p>
    <w:p w:rsidR="00302DAA" w:rsidRDefault="00DA4605">
      <w:pPr>
        <w:pStyle w:val="Textoindependiente"/>
        <w:spacing w:line="278" w:lineRule="auto"/>
        <w:ind w:left="1301" w:right="101"/>
        <w:jc w:val="both"/>
      </w:pPr>
      <w:r>
        <w:t xml:space="preserve">De conformidad con el Nombramiento de Auditoria SIAD 444926, CUA Número </w:t>
      </w:r>
      <w:r>
        <w:rPr>
          <w:spacing w:val="5"/>
        </w:rPr>
        <w:t xml:space="preserve">106949-1-2021,  </w:t>
      </w:r>
      <w:r>
        <w:rPr>
          <w:spacing w:val="3"/>
        </w:rPr>
        <w:t>de</w:t>
      </w:r>
      <w:r>
        <w:rPr>
          <w:spacing w:val="72"/>
        </w:rPr>
        <w:t xml:space="preserve"> </w:t>
      </w:r>
      <w:r>
        <w:rPr>
          <w:spacing w:val="4"/>
        </w:rPr>
        <w:t xml:space="preserve">fecha  </w:t>
      </w:r>
      <w:r>
        <w:rPr>
          <w:spacing w:val="3"/>
        </w:rPr>
        <w:t xml:space="preserve">20  de  </w:t>
      </w:r>
      <w:r>
        <w:rPr>
          <w:spacing w:val="4"/>
        </w:rPr>
        <w:t xml:space="preserve">enero  </w:t>
      </w:r>
      <w:r>
        <w:rPr>
          <w:spacing w:val="3"/>
        </w:rPr>
        <w:t xml:space="preserve">de  </w:t>
      </w:r>
      <w:r>
        <w:rPr>
          <w:spacing w:val="4"/>
        </w:rPr>
        <w:t xml:space="preserve">2021;  fui  </w:t>
      </w:r>
      <w:r>
        <w:rPr>
          <w:spacing w:val="5"/>
        </w:rPr>
        <w:t xml:space="preserve">designado  </w:t>
      </w:r>
      <w:r>
        <w:rPr>
          <w:spacing w:val="4"/>
        </w:rPr>
        <w:t xml:space="preserve">para </w:t>
      </w:r>
      <w:r>
        <w:t xml:space="preserve">realizar Auditoria Administrativa del Primer Seguimiento a las Recomendaciones emitidas por la Contraloría General de Cuentas –CGC-, en el Informe de Auditoría a Sistemas Informáticos, por el período comprendido del 01 de enero al 31 de diciembre de 2017, </w:t>
      </w:r>
      <w:r>
        <w:t>realizada a la Dirección Departamental de Educación de Peten, por medio de la modalidad de</w:t>
      </w:r>
      <w:r>
        <w:rPr>
          <w:spacing w:val="-10"/>
        </w:rPr>
        <w:t xml:space="preserve"> </w:t>
      </w:r>
      <w:r>
        <w:t>teletrabajo.</w:t>
      </w:r>
    </w:p>
    <w:p w:rsidR="00302DAA" w:rsidRDefault="00302DAA">
      <w:pPr>
        <w:pStyle w:val="Textoindependiente"/>
        <w:spacing w:before="8"/>
        <w:rPr>
          <w:sz w:val="28"/>
        </w:rPr>
      </w:pPr>
    </w:p>
    <w:p w:rsidR="00302DAA" w:rsidRDefault="00DA4605">
      <w:pPr>
        <w:spacing w:line="578" w:lineRule="auto"/>
        <w:ind w:left="1301" w:right="7545"/>
        <w:rPr>
          <w:b/>
          <w:sz w:val="24"/>
        </w:rPr>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837766</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182"/>
                    </a:xfrm>
                    <a:prstGeom prst="rect">
                      <a:avLst/>
                    </a:prstGeom>
                  </pic:spPr>
                </pic:pic>
              </a:graphicData>
            </a:graphic>
          </wp:anchor>
        </w:drawing>
      </w:r>
      <w:r>
        <w:rPr>
          <w:b/>
          <w:sz w:val="24"/>
        </w:rPr>
        <w:t>OBJETIVOS GENERAL</w:t>
      </w:r>
    </w:p>
    <w:p w:rsidR="00302DAA" w:rsidRDefault="00DA4605">
      <w:pPr>
        <w:pStyle w:val="Textoindependiente"/>
        <w:spacing w:line="213" w:lineRule="exact"/>
        <w:ind w:left="1901"/>
      </w:pPr>
      <w:r>
        <w:rPr>
          <w:spacing w:val="2"/>
        </w:rPr>
        <w:t xml:space="preserve">Realizar primer seguimiento </w:t>
      </w:r>
      <w:r>
        <w:t>a</w:t>
      </w:r>
      <w:r>
        <w:rPr>
          <w:spacing w:val="51"/>
        </w:rPr>
        <w:t xml:space="preserve"> </w:t>
      </w:r>
      <w:r>
        <w:t>las</w:t>
      </w:r>
      <w:r>
        <w:rPr>
          <w:spacing w:val="51"/>
        </w:rPr>
        <w:t xml:space="preserve"> </w:t>
      </w:r>
      <w:r>
        <w:rPr>
          <w:spacing w:val="2"/>
        </w:rPr>
        <w:t xml:space="preserve">recomendaciones emitidas </w:t>
      </w:r>
      <w:r>
        <w:t>por</w:t>
      </w:r>
      <w:r>
        <w:rPr>
          <w:spacing w:val="52"/>
        </w:rPr>
        <w:t xml:space="preserve"> </w:t>
      </w:r>
      <w:r>
        <w:t>la</w:t>
      </w:r>
    </w:p>
    <w:p w:rsidR="00302DAA" w:rsidRDefault="00DA4605">
      <w:pPr>
        <w:pStyle w:val="Textoindependiente"/>
        <w:spacing w:before="43"/>
        <w:ind w:left="1901"/>
      </w:pPr>
      <w:r>
        <w:t>Contraloría General de Cuentas –CGC-.</w:t>
      </w:r>
    </w:p>
    <w:p w:rsidR="00302DAA" w:rsidRDefault="00302DAA">
      <w:pPr>
        <w:pStyle w:val="Textoindependiente"/>
        <w:spacing w:before="2"/>
        <w:rPr>
          <w:sz w:val="27"/>
        </w:rPr>
      </w:pPr>
    </w:p>
    <w:p w:rsidR="00302DAA" w:rsidRDefault="00DA4605">
      <w:pPr>
        <w:ind w:left="1301"/>
        <w:rPr>
          <w:b/>
          <w:sz w:val="24"/>
        </w:rPr>
      </w:pPr>
      <w:r>
        <w:rPr>
          <w:b/>
          <w:sz w:val="24"/>
        </w:rPr>
        <w:t>ESPECIFICOS</w:t>
      </w:r>
    </w:p>
    <w:p w:rsidR="00302DAA" w:rsidRDefault="00302DAA">
      <w:pPr>
        <w:pStyle w:val="Textoindependiente"/>
        <w:spacing w:before="3"/>
        <w:rPr>
          <w:b/>
          <w:sz w:val="28"/>
        </w:rPr>
      </w:pPr>
    </w:p>
    <w:p w:rsidR="00302DAA" w:rsidRDefault="00DA4605">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67183" cy="67183"/>
                    </a:xfrm>
                    <a:prstGeom prst="rect">
                      <a:avLst/>
                    </a:prstGeom>
                  </pic:spPr>
                </pic:pic>
              </a:graphicData>
            </a:graphic>
          </wp:anchor>
        </w:drawing>
      </w:r>
      <w:r>
        <w:t xml:space="preserve">Verificar si </w:t>
      </w:r>
      <w:r>
        <w:t>existen recomendaciones implementadas, en proceso e incumplidas.</w:t>
      </w:r>
    </w:p>
    <w:p w:rsidR="00302DAA" w:rsidRDefault="00302DAA">
      <w:pPr>
        <w:pStyle w:val="Textoindependiente"/>
        <w:rPr>
          <w:sz w:val="26"/>
        </w:rPr>
      </w:pPr>
    </w:p>
    <w:p w:rsidR="00302DAA" w:rsidRDefault="00302DAA">
      <w:pPr>
        <w:pStyle w:val="Textoindependiente"/>
        <w:spacing w:before="3"/>
        <w:rPr>
          <w:sz w:val="26"/>
        </w:rPr>
      </w:pPr>
    </w:p>
    <w:p w:rsidR="00302DAA" w:rsidRDefault="00DA4605">
      <w:pPr>
        <w:pStyle w:val="Ttulo1"/>
      </w:pPr>
      <w:bookmarkStart w:id="2" w:name="_TOC_250002"/>
      <w:bookmarkEnd w:id="2"/>
      <w:r>
        <w:t>ALCANCE DE LA ACTIVIDAD</w:t>
      </w:r>
    </w:p>
    <w:p w:rsidR="00302DAA" w:rsidRDefault="00302DAA">
      <w:pPr>
        <w:pStyle w:val="Textoindependiente"/>
        <w:spacing w:before="10"/>
        <w:rPr>
          <w:b/>
          <w:sz w:val="33"/>
        </w:rPr>
      </w:pPr>
    </w:p>
    <w:p w:rsidR="00302DAA" w:rsidRDefault="00DA4605">
      <w:pPr>
        <w:pStyle w:val="Textoindependiente"/>
        <w:spacing w:line="278" w:lineRule="auto"/>
        <w:ind w:left="1301" w:right="102"/>
        <w:jc w:val="both"/>
      </w:pPr>
      <w:r>
        <w:t xml:space="preserve">Se </w:t>
      </w:r>
      <w:r>
        <w:rPr>
          <w:spacing w:val="2"/>
        </w:rPr>
        <w:t xml:space="preserve">efectuó primer seguimiento </w:t>
      </w:r>
      <w:r>
        <w:t xml:space="preserve">a </w:t>
      </w:r>
      <w:r>
        <w:rPr>
          <w:spacing w:val="2"/>
        </w:rPr>
        <w:t xml:space="preserve">sies </w:t>
      </w:r>
      <w:r>
        <w:t xml:space="preserve">(6) </w:t>
      </w:r>
      <w:r>
        <w:rPr>
          <w:spacing w:val="2"/>
        </w:rPr>
        <w:t xml:space="preserve">recomendaciones emitidas </w:t>
      </w:r>
      <w:r>
        <w:t>por la Contraloría General de Cuentas -CGC-, como resultado del informe de Auditoria a Sistemas In</w:t>
      </w:r>
      <w:r>
        <w:t>formáticos, por el periodo fiscal del 01 de enero al 31 de diciembre de 2017, en la Dirección Departamental de Educación de Peten. Determinandose  que implementaron dos (2) y quedaron en proceso cuatro</w:t>
      </w:r>
      <w:r>
        <w:rPr>
          <w:spacing w:val="-16"/>
        </w:rPr>
        <w:t xml:space="preserve"> </w:t>
      </w:r>
      <w:r>
        <w:t>(4).</w:t>
      </w:r>
    </w:p>
    <w:p w:rsidR="00302DAA" w:rsidRDefault="00302DAA">
      <w:pPr>
        <w:pStyle w:val="Textoindependiente"/>
        <w:spacing w:before="8"/>
        <w:rPr>
          <w:sz w:val="28"/>
        </w:rPr>
      </w:pPr>
    </w:p>
    <w:p w:rsidR="00302DAA" w:rsidRDefault="00DA4605">
      <w:pPr>
        <w:pStyle w:val="Ttulo1"/>
        <w:spacing w:before="1"/>
      </w:pPr>
      <w:bookmarkStart w:id="3" w:name="_TOC_250001"/>
      <w:bookmarkEnd w:id="3"/>
      <w:r>
        <w:t>RESULTADOS DE LA ACTIVIDAD</w:t>
      </w:r>
    </w:p>
    <w:p w:rsidR="00302DAA" w:rsidRDefault="00302DAA">
      <w:pPr>
        <w:pStyle w:val="Textoindependiente"/>
        <w:spacing w:before="9"/>
        <w:rPr>
          <w:b/>
          <w:sz w:val="33"/>
        </w:rPr>
      </w:pPr>
    </w:p>
    <w:p w:rsidR="00302DAA" w:rsidRDefault="00DA4605">
      <w:pPr>
        <w:pStyle w:val="Textoindependiente"/>
        <w:spacing w:before="1" w:line="278" w:lineRule="auto"/>
        <w:ind w:left="1301" w:right="102"/>
        <w:jc w:val="both"/>
      </w:pPr>
      <w:r>
        <w:t>De conformidad con el Formulario SR1, Implementación de recomendaciones; así como evidencia presentada y la evaluación realizada, se estableció que el estado actual de las recomendaciones es el siguiente:</w:t>
      </w:r>
    </w:p>
    <w:p w:rsidR="00302DAA" w:rsidRDefault="00302DAA">
      <w:pPr>
        <w:pStyle w:val="Textoindependiente"/>
        <w:spacing w:before="7"/>
        <w:rPr>
          <w:sz w:val="27"/>
        </w:rPr>
      </w:pPr>
    </w:p>
    <w:p w:rsidR="00302DAA" w:rsidRDefault="00DA4605">
      <w:pPr>
        <w:ind w:left="1301"/>
        <w:rPr>
          <w:b/>
          <w:sz w:val="24"/>
        </w:rPr>
      </w:pPr>
      <w:r>
        <w:rPr>
          <w:b/>
          <w:sz w:val="24"/>
        </w:rPr>
        <w:t>RECOMENDACIONES IMPLEMENTADAS (SR1)</w:t>
      </w:r>
    </w:p>
    <w:p w:rsidR="00302DAA" w:rsidRDefault="00DA4605">
      <w:pPr>
        <w:pStyle w:val="Textoindependiente"/>
        <w:spacing w:before="57" w:line="278" w:lineRule="auto"/>
        <w:ind w:left="1301" w:right="101"/>
        <w:jc w:val="both"/>
      </w:pPr>
      <w:r>
        <w:t>De conformidad</w:t>
      </w:r>
      <w:r>
        <w:t xml:space="preserve"> con el formulario SR1 “Implementación de Recomendaciones”, y a la evaluación de las pruebas de cumplimiento presentadas, se determinó que tienen 2 recomendaciones implementadas de los Hallazgos Monetarios y de Incumplimiento de Aspectos Legales: Hallazgo </w:t>
      </w:r>
      <w:r>
        <w:t>9) “Incumplimiento a normativa</w:t>
      </w:r>
    </w:p>
    <w:p w:rsidR="00302DAA" w:rsidRDefault="00302DAA">
      <w:pPr>
        <w:spacing w:line="278" w:lineRule="auto"/>
        <w:jc w:val="both"/>
        <w:sectPr w:rsidR="00302DAA">
          <w:headerReference w:type="default" r:id="rId8"/>
          <w:footerReference w:type="default" r:id="rId9"/>
          <w:pgSz w:w="12240" w:h="15840"/>
          <w:pgMar w:top="1060" w:right="1600" w:bottom="780" w:left="400" w:header="617" w:footer="596" w:gutter="0"/>
          <w:pgNumType w:start="1"/>
          <w:cols w:space="720"/>
        </w:sectPr>
      </w:pPr>
    </w:p>
    <w:p w:rsidR="00302DAA" w:rsidRDefault="00DA4605">
      <w:pPr>
        <w:pStyle w:val="Textoindependiente"/>
        <w:spacing w:before="82" w:line="278" w:lineRule="auto"/>
        <w:ind w:left="1301" w:right="101"/>
        <w:jc w:val="both"/>
      </w:pPr>
      <w:r>
        <w:lastRenderedPageBreak/>
        <w:t>legal en registros del sistema guatenóminas”, y Hallazgo 10) “Registros incorrectos en la actualización del documento personal de identificación en el sistema guatenóminas”, fueron implementadas (Ver anexos).</w:t>
      </w:r>
    </w:p>
    <w:p w:rsidR="00302DAA" w:rsidRDefault="00302DAA">
      <w:pPr>
        <w:pStyle w:val="Textoindependiente"/>
        <w:spacing w:before="7"/>
        <w:rPr>
          <w:sz w:val="27"/>
        </w:rPr>
      </w:pPr>
    </w:p>
    <w:p w:rsidR="00302DAA" w:rsidRDefault="00DA4605">
      <w:pPr>
        <w:pStyle w:val="Textoindependiente"/>
        <w:spacing w:line="278" w:lineRule="auto"/>
        <w:ind w:left="1301" w:right="101"/>
        <w:jc w:val="both"/>
      </w:pPr>
      <w:r>
        <w:t>La implementación de las recomendaciones, prop</w:t>
      </w:r>
      <w:r>
        <w:t xml:space="preserve">icia el cumplimiento de la normativa legal vigente para el efecto, de manera que los registros del sistema de Guatenóminas sean efectivos y oportunos; asimismo, sus registros serán actualizados, de manera correcta, efectiva, y oportuna, el control interno </w:t>
      </w:r>
      <w:r>
        <w:t>se fortalece.</w:t>
      </w:r>
    </w:p>
    <w:p w:rsidR="00302DAA" w:rsidRDefault="00302DAA">
      <w:pPr>
        <w:pStyle w:val="Textoindependiente"/>
        <w:spacing w:before="6"/>
        <w:rPr>
          <w:sz w:val="27"/>
        </w:rPr>
      </w:pPr>
    </w:p>
    <w:p w:rsidR="00302DAA" w:rsidRDefault="00DA4605">
      <w:pPr>
        <w:ind w:left="1301"/>
        <w:jc w:val="both"/>
        <w:rPr>
          <w:b/>
          <w:sz w:val="24"/>
        </w:rPr>
      </w:pPr>
      <w:r>
        <w:rPr>
          <w:b/>
          <w:sz w:val="24"/>
        </w:rPr>
        <w:t>RECOMENDACIONES EN PROCESO</w:t>
      </w:r>
    </w:p>
    <w:p w:rsidR="00302DAA" w:rsidRDefault="00DA4605">
      <w:pPr>
        <w:pStyle w:val="Textoindependiente"/>
        <w:spacing w:before="57" w:line="278" w:lineRule="auto"/>
        <w:ind w:left="1301" w:right="101"/>
        <w:jc w:val="both"/>
      </w:pPr>
      <w:r>
        <w:t>De conformidad con el formulario SR1 “Implementación de Recomendaciones”, y a la evaluación de las pruebas de cumplimiento presentadas por los responsables de la administración de la Dirección Departamental de Educ</w:t>
      </w:r>
      <w:r>
        <w:t>ación de Peten, se determinó que las recomendaciones de los hallazgos: Hallazgo 3) “Deficiencia en la desasignación de puestos en el sistema guatenóminas”, actualmente están diseñando un sistema que les permita tener reflejado el control de la información,</w:t>
      </w:r>
      <w:r>
        <w:t xml:space="preserve"> en cuanto al proceso de actualización de datos. Hallazgo 5) “Falta de asignación de horarios en los registros de guatenóminas”, a la fecha la Dirección de Recursos </w:t>
      </w:r>
      <w:r>
        <w:rPr>
          <w:spacing w:val="4"/>
        </w:rPr>
        <w:t xml:space="preserve">Humanos –DIREH-, </w:t>
      </w:r>
      <w:r>
        <w:rPr>
          <w:spacing w:val="2"/>
        </w:rPr>
        <w:t xml:space="preserve">no </w:t>
      </w:r>
      <w:r>
        <w:rPr>
          <w:spacing w:val="3"/>
        </w:rPr>
        <w:t xml:space="preserve">les han </w:t>
      </w:r>
      <w:r>
        <w:rPr>
          <w:spacing w:val="4"/>
        </w:rPr>
        <w:t xml:space="preserve">autorizado </w:t>
      </w:r>
      <w:r>
        <w:rPr>
          <w:spacing w:val="3"/>
        </w:rPr>
        <w:t xml:space="preserve">los </w:t>
      </w:r>
      <w:r>
        <w:rPr>
          <w:spacing w:val="4"/>
        </w:rPr>
        <w:t xml:space="preserve">permisos </w:t>
      </w:r>
      <w:r>
        <w:t xml:space="preserve">a </w:t>
      </w:r>
      <w:r>
        <w:rPr>
          <w:spacing w:val="3"/>
        </w:rPr>
        <w:t xml:space="preserve">los </w:t>
      </w:r>
      <w:r>
        <w:rPr>
          <w:spacing w:val="2"/>
        </w:rPr>
        <w:t xml:space="preserve">usuarios </w:t>
      </w:r>
      <w:r>
        <w:t>responsables para realiz</w:t>
      </w:r>
      <w:r>
        <w:t xml:space="preserve">ar las modificaciones en el Sistema Guatenóminas. Hallazgo 7) “Incumplimiento al procedimiento de baja del empleado”, no han </w:t>
      </w:r>
      <w:r>
        <w:rPr>
          <w:spacing w:val="2"/>
        </w:rPr>
        <w:t xml:space="preserve">actualizado todos </w:t>
      </w:r>
      <w:r>
        <w:t xml:space="preserve">los </w:t>
      </w:r>
      <w:r>
        <w:rPr>
          <w:spacing w:val="2"/>
        </w:rPr>
        <w:t xml:space="preserve">casos, </w:t>
      </w:r>
      <w:r>
        <w:t xml:space="preserve">en el </w:t>
      </w:r>
      <w:r>
        <w:rPr>
          <w:spacing w:val="2"/>
        </w:rPr>
        <w:t xml:space="preserve">sistema </w:t>
      </w:r>
      <w:r>
        <w:t xml:space="preserve">de </w:t>
      </w:r>
      <w:r>
        <w:rPr>
          <w:spacing w:val="2"/>
        </w:rPr>
        <w:t xml:space="preserve">Guatenóminas, </w:t>
      </w:r>
      <w:r>
        <w:t xml:space="preserve">de </w:t>
      </w:r>
      <w:r>
        <w:rPr>
          <w:spacing w:val="2"/>
        </w:rPr>
        <w:t xml:space="preserve">baja </w:t>
      </w:r>
      <w:r>
        <w:t xml:space="preserve">de </w:t>
      </w:r>
      <w:r>
        <w:rPr>
          <w:spacing w:val="3"/>
        </w:rPr>
        <w:t xml:space="preserve">empleados, </w:t>
      </w:r>
      <w:r>
        <w:t xml:space="preserve">a la </w:t>
      </w:r>
      <w:r>
        <w:rPr>
          <w:spacing w:val="3"/>
        </w:rPr>
        <w:t xml:space="preserve">fecha verifican </w:t>
      </w:r>
      <w:r>
        <w:t xml:space="preserve">el </w:t>
      </w:r>
      <w:r>
        <w:rPr>
          <w:spacing w:val="3"/>
        </w:rPr>
        <w:t xml:space="preserve">estado </w:t>
      </w:r>
      <w:r>
        <w:rPr>
          <w:spacing w:val="2"/>
        </w:rPr>
        <w:t xml:space="preserve">del </w:t>
      </w:r>
      <w:r>
        <w:rPr>
          <w:spacing w:val="3"/>
        </w:rPr>
        <w:t>expediente, de</w:t>
      </w:r>
      <w:r>
        <w:rPr>
          <w:spacing w:val="3"/>
        </w:rPr>
        <w:t xml:space="preserve">rivado </w:t>
      </w:r>
      <w:r>
        <w:t xml:space="preserve">de la recomendación emitida al respecto, y Hallazgo 8) “Incumplimiento a normativa vigente”, a la fecha no se han recuperado la totalidad de los sueldos pagados no devengados, debido a que fueron trasladados a Asesoría Jurídica para ser recuperados </w:t>
      </w:r>
      <w:r>
        <w:t>por medio del Ministerio Público, de conformidad a la Legislación Vigente para el efecto. Por lo tanto, las recomendaciones de los hallazgos antes mencionadas se encuentran en proceso, de conformidad con el seguimiento realizado, ya que no han sido impleme</w:t>
      </w:r>
      <w:r>
        <w:t>ntadas en su</w:t>
      </w:r>
      <w:r>
        <w:rPr>
          <w:spacing w:val="-15"/>
        </w:rPr>
        <w:t xml:space="preserve"> </w:t>
      </w:r>
      <w:r>
        <w:t>totalidad.</w:t>
      </w:r>
    </w:p>
    <w:p w:rsidR="00302DAA" w:rsidRDefault="00302DAA">
      <w:pPr>
        <w:pStyle w:val="Textoindependiente"/>
        <w:spacing w:before="7"/>
        <w:rPr>
          <w:sz w:val="26"/>
        </w:rPr>
      </w:pPr>
    </w:p>
    <w:p w:rsidR="00302DAA" w:rsidRDefault="00DA4605">
      <w:pPr>
        <w:pStyle w:val="Textoindependiente"/>
        <w:spacing w:before="1" w:line="278" w:lineRule="auto"/>
        <w:ind w:left="1301" w:right="103"/>
        <w:jc w:val="both"/>
      </w:pPr>
      <w:r>
        <w:t>El resultado de que las recomendaciones efectuadas estén en proceso, propicia que se incumpla con los aspectos legales y formales, así como la falta de aplicación de los controles internos que faciliten la toma de decisiones, que exista atraso en el proces</w:t>
      </w:r>
      <w:r>
        <w:t>o administrativo, así mismo se corre el riesgo de una posible sanción pecuniaria por el ente fiscalizador estatal, por incumplimiento de recomendaciones.</w:t>
      </w:r>
    </w:p>
    <w:p w:rsidR="00302DAA" w:rsidRDefault="00302DAA">
      <w:pPr>
        <w:pStyle w:val="Textoindependiente"/>
        <w:spacing w:before="5"/>
        <w:rPr>
          <w:sz w:val="27"/>
        </w:rPr>
      </w:pPr>
    </w:p>
    <w:p w:rsidR="00302DAA" w:rsidRDefault="00DA4605">
      <w:pPr>
        <w:spacing w:before="1"/>
        <w:ind w:left="1301"/>
        <w:jc w:val="both"/>
        <w:rPr>
          <w:b/>
          <w:sz w:val="24"/>
        </w:rPr>
      </w:pPr>
      <w:r>
        <w:rPr>
          <w:b/>
          <w:sz w:val="24"/>
        </w:rPr>
        <w:t>COMENTARIO DE AUDITORIA</w:t>
      </w:r>
    </w:p>
    <w:p w:rsidR="00302DAA" w:rsidRDefault="00DA4605">
      <w:pPr>
        <w:pStyle w:val="Textoindependiente"/>
        <w:spacing w:before="56" w:line="278" w:lineRule="auto"/>
        <w:ind w:left="1301" w:right="103"/>
        <w:jc w:val="both"/>
      </w:pPr>
      <w:r>
        <w:t>En acta No. DIDAI-IZA-01-2021, de fecha 25 de enero de 2021, del Libro autorizado por la Contraloría General de Cuentas con el registro L2 48633, de</w:t>
      </w:r>
    </w:p>
    <w:p w:rsidR="00302DAA" w:rsidRDefault="00302DAA">
      <w:pPr>
        <w:spacing w:line="278" w:lineRule="auto"/>
        <w:jc w:val="both"/>
        <w:sectPr w:rsidR="00302DAA">
          <w:pgSz w:w="12240" w:h="15840"/>
          <w:pgMar w:top="1060" w:right="1600" w:bottom="780" w:left="400" w:header="617" w:footer="596" w:gutter="0"/>
          <w:cols w:space="720"/>
        </w:sectPr>
      </w:pPr>
    </w:p>
    <w:p w:rsidR="00302DAA" w:rsidRDefault="00DA4605">
      <w:pPr>
        <w:pStyle w:val="Textoindependiente"/>
        <w:spacing w:before="82"/>
        <w:ind w:left="1301"/>
        <w:jc w:val="both"/>
      </w:pPr>
      <w:r>
        <w:lastRenderedPageBreak/>
        <w:t>fecha 17 de febrero de 2021, se dejó constancia de lo arriba indicado.</w:t>
      </w:r>
    </w:p>
    <w:p w:rsidR="00302DAA" w:rsidRDefault="00302DAA">
      <w:pPr>
        <w:pStyle w:val="Textoindependiente"/>
        <w:spacing w:before="6"/>
        <w:rPr>
          <w:sz w:val="31"/>
        </w:rPr>
      </w:pPr>
    </w:p>
    <w:p w:rsidR="00302DAA" w:rsidRDefault="00DA4605">
      <w:pPr>
        <w:pStyle w:val="Textoindependiente"/>
        <w:spacing w:line="278" w:lineRule="auto"/>
        <w:ind w:left="1301" w:right="102"/>
        <w:jc w:val="both"/>
      </w:pPr>
      <w:r>
        <w:t>Derivado a que la Dir</w:t>
      </w:r>
      <w:r>
        <w:t xml:space="preserve">ección de Auditoría Interna –DIDAI-, efectuó primer seguimiento a las recomendaciones emitidas por la Contraloría General de Cuentas, a la fecha de la presentación de este informe no han sido implementadas en su totalidad, queda bajo la responsabilidad de </w:t>
      </w:r>
      <w:r>
        <w:t>la administración de la Dirección Departamental de Educación de Peten, realizar las acciones pertinentes para dar cumplimiento de las mismas, y evitar ser sancionados por el ente fiscalizador estatal.</w:t>
      </w:r>
    </w:p>
    <w:p w:rsidR="00302DAA" w:rsidRDefault="00302DAA">
      <w:pPr>
        <w:pStyle w:val="Textoindependiente"/>
        <w:spacing w:before="5"/>
        <w:rPr>
          <w:sz w:val="27"/>
        </w:rPr>
      </w:pPr>
    </w:p>
    <w:p w:rsidR="00302DAA" w:rsidRDefault="00DA4605">
      <w:pPr>
        <w:pStyle w:val="Textoindependiente"/>
        <w:spacing w:line="278" w:lineRule="auto"/>
        <w:ind w:left="1301" w:right="102"/>
        <w:jc w:val="both"/>
      </w:pPr>
      <w:r>
        <w:t>Los responsables de la Dirección Departamental de Educ</w:t>
      </w:r>
      <w:r>
        <w:t>ación de Peten, adquirieron el compromiso de cumplir con las recomendaciones que se encuentran en proceso, iniciando el 26/01/2021, y esperan terminar en un máximo de 5 meses; para realizar las correcciones pertinentes, según consta en el Oficio: 15-2021 R</w:t>
      </w:r>
      <w:r>
        <w:t>HH/abss, Santa Elena, Flores, Petén, de fecha 25 de enero de 2021, entre otros compromisos. Además, consta en las cédulas narrativas números CNA-1, CNA-2, CNA-3, CNA-4, CNA-5, y CNA-6, y CNA-7, todas de fecha 26 de</w:t>
      </w:r>
    </w:p>
    <w:p w:rsidR="00302DAA" w:rsidRDefault="00DA4605">
      <w:pPr>
        <w:pStyle w:val="Textoindependiente"/>
        <w:spacing w:line="271" w:lineRule="exact"/>
        <w:ind w:left="1301"/>
        <w:jc w:val="both"/>
      </w:pPr>
      <w:r>
        <w:t>enero de 2021.</w:t>
      </w:r>
    </w:p>
    <w:p w:rsidR="00302DAA" w:rsidRDefault="00302DAA">
      <w:pPr>
        <w:pStyle w:val="Textoindependiente"/>
        <w:spacing w:before="6"/>
        <w:rPr>
          <w:sz w:val="31"/>
        </w:rPr>
      </w:pPr>
    </w:p>
    <w:p w:rsidR="00302DAA" w:rsidRDefault="00DA4605">
      <w:pPr>
        <w:pStyle w:val="Textoindependiente"/>
        <w:spacing w:before="1" w:line="278" w:lineRule="auto"/>
        <w:ind w:left="1301" w:right="103"/>
        <w:jc w:val="both"/>
      </w:pPr>
      <w:r>
        <w:t>Sin otro particular, me s</w:t>
      </w:r>
      <w:r>
        <w:t>uscribo de usted, con altas muestras de consideración y estima.</w:t>
      </w: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spacing w:before="6"/>
        <w:rPr>
          <w:sz w:val="13"/>
        </w:rPr>
      </w:pPr>
    </w:p>
    <w:p w:rsidR="00302DAA" w:rsidRDefault="00F22A7B">
      <w:pPr>
        <w:tabs>
          <w:tab w:val="left" w:pos="5840"/>
        </w:tabs>
        <w:spacing w:line="20" w:lineRule="exact"/>
        <w:ind w:left="1436"/>
        <w:rPr>
          <w:sz w:val="2"/>
        </w:rPr>
      </w:pPr>
      <w:r>
        <w:rPr>
          <w:noProof/>
          <w:sz w:val="2"/>
          <w:lang w:val="es-GT" w:eastAsia="es-GT"/>
        </w:rPr>
        <mc:AlternateContent>
          <mc:Choice Requires="wpg">
            <w:drawing>
              <wp:inline distT="0" distB="0" distL="0" distR="0">
                <wp:extent cx="979170" cy="9525"/>
                <wp:effectExtent l="3810" t="3810" r="0" b="0"/>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9525"/>
                          <a:chOff x="0" y="0"/>
                          <a:chExt cx="1542" cy="15"/>
                        </a:xfrm>
                      </wpg:grpSpPr>
                      <wps:wsp>
                        <wps:cNvPr id="27" name="Rectangle 9"/>
                        <wps:cNvSpPr>
                          <a:spLocks noChangeArrowheads="1"/>
                        </wps:cNvSpPr>
                        <wps:spPr bwMode="auto">
                          <a:xfrm>
                            <a:off x="0" y="0"/>
                            <a:ext cx="154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FDF9E9" id="Group 8" o:spid="_x0000_s1026" style="width:77.1pt;height:.75pt;mso-position-horizontal-relative:char;mso-position-vertical-relative:line" coordsize="15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">
                <v:rect id="Rectangle 9" o:spid="_x0000_s1027" style="position:absolute;width:15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anchorlock/>
              </v:group>
            </w:pict>
          </mc:Fallback>
        </mc:AlternateContent>
      </w:r>
      <w:r w:rsidR="00DA4605">
        <w:rPr>
          <w:sz w:val="2"/>
        </w:rPr>
        <w:tab/>
      </w:r>
      <w:r>
        <w:rPr>
          <w:noProof/>
          <w:sz w:val="2"/>
          <w:lang w:val="es-GT" w:eastAsia="es-GT"/>
        </w:rPr>
        <mc:AlternateContent>
          <mc:Choice Requires="wpg">
            <w:drawing>
              <wp:inline distT="0" distB="0" distL="0" distR="0">
                <wp:extent cx="1537970" cy="9525"/>
                <wp:effectExtent l="0" t="3810" r="0" b="0"/>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9525"/>
                          <a:chOff x="0" y="0"/>
                          <a:chExt cx="2422" cy="15"/>
                        </a:xfrm>
                      </wpg:grpSpPr>
                      <wps:wsp>
                        <wps:cNvPr id="25" name="Rectangle 7"/>
                        <wps:cNvSpPr>
                          <a:spLocks noChangeArrowheads="1"/>
                        </wps:cNvSpPr>
                        <wps:spPr bwMode="auto">
                          <a:xfrm>
                            <a:off x="0" y="0"/>
                            <a:ext cx="242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281F92" id="Group 6" o:spid="_x0000_s1026" style="width:121.1pt;height:.75pt;mso-position-horizontal-relative:char;mso-position-vertical-relative:line" coordsize="24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">
                <v:rect id="Rectangle 7" o:spid="_x0000_s1027" style="position:absolute;width:242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p>
    <w:p w:rsidR="00302DAA" w:rsidRDefault="00302DAA">
      <w:pPr>
        <w:spacing w:line="20" w:lineRule="exact"/>
        <w:rPr>
          <w:sz w:val="2"/>
        </w:rPr>
        <w:sectPr w:rsidR="00302DAA">
          <w:pgSz w:w="12240" w:h="15840"/>
          <w:pgMar w:top="1060" w:right="1600" w:bottom="780" w:left="400" w:header="617" w:footer="596" w:gutter="0"/>
          <w:cols w:space="720"/>
        </w:sectPr>
      </w:pPr>
    </w:p>
    <w:p w:rsidR="00302DAA" w:rsidRDefault="00DA4605">
      <w:pPr>
        <w:spacing w:before="20"/>
        <w:ind w:left="1451"/>
        <w:rPr>
          <w:sz w:val="14"/>
        </w:rPr>
      </w:pPr>
      <w:r>
        <w:rPr>
          <w:sz w:val="14"/>
        </w:rPr>
        <w:lastRenderedPageBreak/>
        <w:t>JORGE MARIO ANTON</w:t>
      </w:r>
    </w:p>
    <w:p w:rsidR="00302DAA" w:rsidRDefault="00DA4605">
      <w:pPr>
        <w:spacing w:before="85"/>
        <w:ind w:left="1451"/>
        <w:rPr>
          <w:sz w:val="14"/>
        </w:rPr>
      </w:pPr>
      <w:r>
        <w:rPr>
          <w:sz w:val="14"/>
        </w:rPr>
        <w:t>Auditor</w:t>
      </w:r>
    </w:p>
    <w:p w:rsidR="00302DAA" w:rsidRDefault="00DA4605">
      <w:pPr>
        <w:spacing w:before="20"/>
        <w:ind w:left="1451"/>
        <w:rPr>
          <w:sz w:val="14"/>
        </w:rPr>
      </w:pPr>
      <w:r>
        <w:br w:type="column"/>
      </w:r>
      <w:r>
        <w:rPr>
          <w:sz w:val="14"/>
        </w:rPr>
        <w:lastRenderedPageBreak/>
        <w:t>MAYRA ILIANA HERNANDEZ LOPEZ</w:t>
      </w:r>
    </w:p>
    <w:p w:rsidR="00302DAA" w:rsidRDefault="00DA4605">
      <w:pPr>
        <w:spacing w:before="85"/>
        <w:ind w:left="1451"/>
        <w:rPr>
          <w:sz w:val="14"/>
        </w:rPr>
      </w:pPr>
      <w:r>
        <w:rPr>
          <w:sz w:val="14"/>
        </w:rPr>
        <w:t>Supervisor</w:t>
      </w:r>
    </w:p>
    <w:p w:rsidR="00302DAA" w:rsidRDefault="00302DAA">
      <w:pPr>
        <w:rPr>
          <w:sz w:val="14"/>
        </w:rPr>
        <w:sectPr w:rsidR="00302DAA">
          <w:type w:val="continuous"/>
          <w:pgSz w:w="12240" w:h="15840"/>
          <w:pgMar w:top="1080" w:right="1600" w:bottom="0" w:left="400" w:header="720" w:footer="720" w:gutter="0"/>
          <w:cols w:num="2" w:space="720" w:equalWidth="0">
            <w:col w:w="3002" w:space="1402"/>
            <w:col w:w="5836"/>
          </w:cols>
        </w:sect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rPr>
          <w:sz w:val="20"/>
        </w:rPr>
      </w:pPr>
    </w:p>
    <w:p w:rsidR="00302DAA" w:rsidRDefault="00302DAA">
      <w:pPr>
        <w:pStyle w:val="Textoindependiente"/>
        <w:spacing w:before="1"/>
        <w:rPr>
          <w:sz w:val="20"/>
        </w:rPr>
      </w:pPr>
    </w:p>
    <w:p w:rsidR="00302DAA" w:rsidRDefault="00F22A7B">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2540"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3"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95751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qNRWHM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r w:rsidR="00DA4605">
        <w:rPr>
          <w:sz w:val="2"/>
        </w:rPr>
        <w:tab/>
      </w:r>
      <w:r>
        <w:rPr>
          <w:noProof/>
          <w:sz w:val="2"/>
          <w:lang w:val="es-GT" w:eastAsia="es-GT"/>
        </w:rPr>
        <mc:AlternateContent>
          <mc:Choice Requires="wpg">
            <w:drawing>
              <wp:inline distT="0" distB="0" distL="0" distR="0">
                <wp:extent cx="1449070" cy="9525"/>
                <wp:effectExtent l="0" t="2540"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D6EC07"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302DAA" w:rsidRDefault="00302DAA">
      <w:pPr>
        <w:spacing w:line="20" w:lineRule="exact"/>
        <w:rPr>
          <w:sz w:val="2"/>
        </w:rPr>
        <w:sectPr w:rsidR="00302DAA">
          <w:type w:val="continuous"/>
          <w:pgSz w:w="12240" w:h="15840"/>
          <w:pgMar w:top="1080" w:right="1600" w:bottom="0" w:left="400" w:header="720" w:footer="720" w:gutter="0"/>
          <w:cols w:space="720"/>
        </w:sectPr>
      </w:pPr>
    </w:p>
    <w:p w:rsidR="00302DAA" w:rsidRDefault="00DA4605">
      <w:pPr>
        <w:spacing w:before="19"/>
        <w:ind w:left="1451"/>
        <w:rPr>
          <w:sz w:val="14"/>
        </w:rPr>
      </w:pPr>
      <w:r>
        <w:rPr>
          <w:sz w:val="14"/>
        </w:rPr>
        <w:lastRenderedPageBreak/>
        <w:t>MILDRED LORENA FUENTES DE LEON</w:t>
      </w:r>
    </w:p>
    <w:p w:rsidR="00302DAA" w:rsidRDefault="00DA4605">
      <w:pPr>
        <w:spacing w:before="86"/>
        <w:ind w:left="1451"/>
        <w:rPr>
          <w:sz w:val="14"/>
        </w:rPr>
      </w:pPr>
      <w:r>
        <w:rPr>
          <w:sz w:val="14"/>
        </w:rPr>
        <w:t>Sub Director</w:t>
      </w:r>
    </w:p>
    <w:p w:rsidR="00302DAA" w:rsidRDefault="00DA4605">
      <w:pPr>
        <w:spacing w:before="19"/>
        <w:ind w:left="1451"/>
        <w:rPr>
          <w:sz w:val="14"/>
        </w:rPr>
      </w:pPr>
      <w:r>
        <w:br w:type="column"/>
      </w:r>
      <w:r>
        <w:rPr>
          <w:sz w:val="14"/>
        </w:rPr>
        <w:lastRenderedPageBreak/>
        <w:t>JULIA VICTORIA MONZON PEREZ</w:t>
      </w:r>
    </w:p>
    <w:p w:rsidR="00302DAA" w:rsidRDefault="00DA4605">
      <w:pPr>
        <w:spacing w:before="86"/>
        <w:ind w:left="1451"/>
        <w:rPr>
          <w:sz w:val="14"/>
        </w:rPr>
      </w:pPr>
      <w:r>
        <w:rPr>
          <w:sz w:val="14"/>
        </w:rPr>
        <w:t>Director</w:t>
      </w:r>
    </w:p>
    <w:p w:rsidR="00302DAA" w:rsidRDefault="00302DAA">
      <w:pPr>
        <w:rPr>
          <w:sz w:val="14"/>
        </w:rPr>
        <w:sectPr w:rsidR="00302DAA">
          <w:type w:val="continuous"/>
          <w:pgSz w:w="12240" w:h="15840"/>
          <w:pgMar w:top="1080" w:right="1600" w:bottom="0" w:left="400" w:header="720" w:footer="720" w:gutter="0"/>
          <w:cols w:num="2" w:space="720" w:equalWidth="0">
            <w:col w:w="4083" w:space="321"/>
            <w:col w:w="5836"/>
          </w:cols>
        </w:sectPr>
      </w:pPr>
    </w:p>
    <w:p w:rsidR="00302DAA" w:rsidRDefault="00DA4605">
      <w:pPr>
        <w:pStyle w:val="Ttulo1"/>
        <w:spacing w:before="82"/>
      </w:pPr>
      <w:bookmarkStart w:id="4" w:name="_TOC_250000"/>
      <w:bookmarkEnd w:id="4"/>
      <w:r>
        <w:lastRenderedPageBreak/>
        <w:t>ANEXOS</w:t>
      </w:r>
    </w:p>
    <w:p w:rsidR="00302DAA" w:rsidRDefault="00302DAA">
      <w:pPr>
        <w:pStyle w:val="Textoindependiente"/>
        <w:spacing w:before="1"/>
        <w:rPr>
          <w:b/>
          <w:sz w:val="29"/>
        </w:rPr>
      </w:pPr>
    </w:p>
    <w:p w:rsidR="00302DAA" w:rsidRDefault="00DA4605">
      <w:pPr>
        <w:spacing w:before="94"/>
        <w:ind w:left="1256"/>
        <w:jc w:val="center"/>
        <w:rPr>
          <w:sz w:val="16"/>
        </w:rPr>
      </w:pPr>
      <w:r>
        <w:rPr>
          <w:sz w:val="16"/>
        </w:rPr>
        <w:t>.</w:t>
      </w:r>
    </w:p>
    <w:p w:rsidR="00302DAA" w:rsidRDefault="00DA4605">
      <w:pPr>
        <w:pStyle w:val="Textoindependiente"/>
        <w:spacing w:before="4"/>
        <w:rPr>
          <w:sz w:val="14"/>
        </w:rPr>
      </w:pPr>
      <w:r>
        <w:rPr>
          <w:noProof/>
          <w:lang w:val="es-GT" w:eastAsia="es-GT"/>
        </w:rPr>
        <w:drawing>
          <wp:anchor distT="0" distB="0" distL="0" distR="0" simplePos="0" relativeHeight="8" behindDoc="0" locked="0" layoutInCell="1" allowOverlap="1">
            <wp:simplePos x="0" y="0"/>
            <wp:positionH relativeFrom="page">
              <wp:posOffset>1187303</wp:posOffset>
            </wp:positionH>
            <wp:positionV relativeFrom="paragraph">
              <wp:posOffset>129924</wp:posOffset>
            </wp:positionV>
            <wp:extent cx="5243227" cy="7021068"/>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5243227" cy="7021068"/>
                    </a:xfrm>
                    <a:prstGeom prst="rect">
                      <a:avLst/>
                    </a:prstGeom>
                  </pic:spPr>
                </pic:pic>
              </a:graphicData>
            </a:graphic>
          </wp:anchor>
        </w:drawing>
      </w:r>
    </w:p>
    <w:p w:rsidR="00302DAA" w:rsidRDefault="00302DAA">
      <w:pPr>
        <w:rPr>
          <w:sz w:val="14"/>
        </w:rPr>
        <w:sectPr w:rsidR="00302DAA">
          <w:pgSz w:w="12240" w:h="15840"/>
          <w:pgMar w:top="1060" w:right="1600" w:bottom="780" w:left="400" w:header="617" w:footer="596" w:gutter="0"/>
          <w:cols w:space="720"/>
        </w:sectPr>
      </w:pPr>
    </w:p>
    <w:p w:rsidR="00302DAA" w:rsidRDefault="00DA4605">
      <w:pPr>
        <w:spacing w:before="121"/>
        <w:ind w:left="1256"/>
        <w:jc w:val="center"/>
        <w:rPr>
          <w:sz w:val="16"/>
        </w:rPr>
      </w:pPr>
      <w:r>
        <w:rPr>
          <w:sz w:val="16"/>
        </w:rPr>
        <w:lastRenderedPageBreak/>
        <w:t>.</w:t>
      </w:r>
    </w:p>
    <w:p w:rsidR="00302DAA" w:rsidRDefault="00DA4605">
      <w:pPr>
        <w:pStyle w:val="Textoindependiente"/>
        <w:spacing w:before="4"/>
        <w:rPr>
          <w:sz w:val="14"/>
        </w:rPr>
      </w:pPr>
      <w:r>
        <w:rPr>
          <w:noProof/>
          <w:lang w:val="es-GT" w:eastAsia="es-GT"/>
        </w:rPr>
        <w:drawing>
          <wp:anchor distT="0" distB="0" distL="0" distR="0" simplePos="0" relativeHeight="9" behindDoc="0" locked="0" layoutInCell="1" allowOverlap="1">
            <wp:simplePos x="0" y="0"/>
            <wp:positionH relativeFrom="page">
              <wp:posOffset>1187303</wp:posOffset>
            </wp:positionH>
            <wp:positionV relativeFrom="paragraph">
              <wp:posOffset>129682</wp:posOffset>
            </wp:positionV>
            <wp:extent cx="5236112" cy="7021068"/>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5236112" cy="7021068"/>
                    </a:xfrm>
                    <a:prstGeom prst="rect">
                      <a:avLst/>
                    </a:prstGeom>
                  </pic:spPr>
                </pic:pic>
              </a:graphicData>
            </a:graphic>
          </wp:anchor>
        </w:drawing>
      </w:r>
    </w:p>
    <w:p w:rsidR="00302DAA" w:rsidRDefault="00302DAA">
      <w:pPr>
        <w:rPr>
          <w:sz w:val="14"/>
        </w:rPr>
        <w:sectPr w:rsidR="00302DAA">
          <w:pgSz w:w="12240" w:h="15840"/>
          <w:pgMar w:top="1060" w:right="1600" w:bottom="780" w:left="400" w:header="617" w:footer="596" w:gutter="0"/>
          <w:cols w:space="720"/>
        </w:sectPr>
      </w:pPr>
    </w:p>
    <w:p w:rsidR="00302DAA" w:rsidRDefault="00DA4605">
      <w:pPr>
        <w:spacing w:before="121"/>
        <w:ind w:left="1256"/>
        <w:jc w:val="center"/>
        <w:rPr>
          <w:sz w:val="16"/>
        </w:rPr>
      </w:pPr>
      <w:r>
        <w:rPr>
          <w:sz w:val="16"/>
        </w:rPr>
        <w:lastRenderedPageBreak/>
        <w:t>.</w:t>
      </w:r>
    </w:p>
    <w:p w:rsidR="00302DAA" w:rsidRDefault="00DA4605">
      <w:pPr>
        <w:pStyle w:val="Textoindependiente"/>
        <w:spacing w:before="4"/>
        <w:rPr>
          <w:sz w:val="14"/>
        </w:rPr>
      </w:pPr>
      <w:r>
        <w:rPr>
          <w:noProof/>
          <w:lang w:val="es-GT" w:eastAsia="es-GT"/>
        </w:rPr>
        <w:drawing>
          <wp:anchor distT="0" distB="0" distL="0" distR="0" simplePos="0" relativeHeight="10" behindDoc="0" locked="0" layoutInCell="1" allowOverlap="1">
            <wp:simplePos x="0" y="0"/>
            <wp:positionH relativeFrom="page">
              <wp:posOffset>1187303</wp:posOffset>
            </wp:positionH>
            <wp:positionV relativeFrom="paragraph">
              <wp:posOffset>129791</wp:posOffset>
            </wp:positionV>
            <wp:extent cx="5228998" cy="6995159"/>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2" cstate="print"/>
                    <a:stretch>
                      <a:fillRect/>
                    </a:stretch>
                  </pic:blipFill>
                  <pic:spPr>
                    <a:xfrm>
                      <a:off x="0" y="0"/>
                      <a:ext cx="5228998" cy="6995159"/>
                    </a:xfrm>
                    <a:prstGeom prst="rect">
                      <a:avLst/>
                    </a:prstGeom>
                  </pic:spPr>
                </pic:pic>
              </a:graphicData>
            </a:graphic>
          </wp:anchor>
        </w:drawing>
      </w:r>
    </w:p>
    <w:p w:rsidR="00302DAA" w:rsidRDefault="00302DAA">
      <w:pPr>
        <w:rPr>
          <w:sz w:val="14"/>
        </w:rPr>
        <w:sectPr w:rsidR="00302DAA">
          <w:pgSz w:w="12240" w:h="15840"/>
          <w:pgMar w:top="1060" w:right="1600" w:bottom="780" w:left="400" w:header="617" w:footer="596" w:gutter="0"/>
          <w:cols w:space="720"/>
        </w:sectPr>
      </w:pPr>
    </w:p>
    <w:p w:rsidR="00302DAA" w:rsidRDefault="00DA4605">
      <w:pPr>
        <w:spacing w:before="121"/>
        <w:ind w:left="1256"/>
        <w:jc w:val="center"/>
        <w:rPr>
          <w:sz w:val="16"/>
        </w:rPr>
      </w:pPr>
      <w:r>
        <w:rPr>
          <w:sz w:val="16"/>
        </w:rPr>
        <w:lastRenderedPageBreak/>
        <w:t>.</w:t>
      </w:r>
    </w:p>
    <w:p w:rsidR="00302DAA" w:rsidRDefault="00DA4605">
      <w:pPr>
        <w:pStyle w:val="Textoindependiente"/>
        <w:spacing w:before="4"/>
        <w:rPr>
          <w:sz w:val="14"/>
        </w:rPr>
      </w:pPr>
      <w:r>
        <w:rPr>
          <w:noProof/>
          <w:lang w:val="es-GT" w:eastAsia="es-GT"/>
        </w:rPr>
        <w:drawing>
          <wp:anchor distT="0" distB="0" distL="0" distR="0" simplePos="0" relativeHeight="11" behindDoc="0" locked="0" layoutInCell="1" allowOverlap="1">
            <wp:simplePos x="0" y="0"/>
            <wp:positionH relativeFrom="page">
              <wp:posOffset>1187303</wp:posOffset>
            </wp:positionH>
            <wp:positionV relativeFrom="paragraph">
              <wp:posOffset>129682</wp:posOffset>
            </wp:positionV>
            <wp:extent cx="5236112" cy="7021068"/>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5236112" cy="7021068"/>
                    </a:xfrm>
                    <a:prstGeom prst="rect">
                      <a:avLst/>
                    </a:prstGeom>
                  </pic:spPr>
                </pic:pic>
              </a:graphicData>
            </a:graphic>
          </wp:anchor>
        </w:drawing>
      </w:r>
    </w:p>
    <w:p w:rsidR="00302DAA" w:rsidRDefault="00302DAA">
      <w:pPr>
        <w:rPr>
          <w:sz w:val="14"/>
        </w:rPr>
        <w:sectPr w:rsidR="00302DAA">
          <w:pgSz w:w="12240" w:h="15840"/>
          <w:pgMar w:top="1060" w:right="1600" w:bottom="780" w:left="400" w:header="617" w:footer="596" w:gutter="0"/>
          <w:cols w:space="720"/>
        </w:sectPr>
      </w:pPr>
    </w:p>
    <w:p w:rsidR="00302DAA" w:rsidRDefault="00DA4605">
      <w:pPr>
        <w:spacing w:before="121"/>
        <w:ind w:left="1256"/>
        <w:jc w:val="center"/>
        <w:rPr>
          <w:sz w:val="16"/>
        </w:rPr>
      </w:pPr>
      <w:r>
        <w:rPr>
          <w:sz w:val="16"/>
        </w:rPr>
        <w:lastRenderedPageBreak/>
        <w:t>.</w:t>
      </w:r>
    </w:p>
    <w:p w:rsidR="00302DAA" w:rsidRDefault="00DA4605">
      <w:pPr>
        <w:pStyle w:val="Textoindependiente"/>
        <w:spacing w:before="4"/>
        <w:rPr>
          <w:sz w:val="14"/>
        </w:rPr>
      </w:pPr>
      <w:r>
        <w:rPr>
          <w:noProof/>
          <w:lang w:val="es-GT" w:eastAsia="es-GT"/>
        </w:rPr>
        <w:drawing>
          <wp:anchor distT="0" distB="0" distL="0" distR="0" simplePos="0" relativeHeight="12" behindDoc="0" locked="0" layoutInCell="1" allowOverlap="1">
            <wp:simplePos x="0" y="0"/>
            <wp:positionH relativeFrom="page">
              <wp:posOffset>1187303</wp:posOffset>
            </wp:positionH>
            <wp:positionV relativeFrom="paragraph">
              <wp:posOffset>129574</wp:posOffset>
            </wp:positionV>
            <wp:extent cx="5243227" cy="7021068"/>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4" cstate="print"/>
                    <a:stretch>
                      <a:fillRect/>
                    </a:stretch>
                  </pic:blipFill>
                  <pic:spPr>
                    <a:xfrm>
                      <a:off x="0" y="0"/>
                      <a:ext cx="5243227" cy="7021068"/>
                    </a:xfrm>
                    <a:prstGeom prst="rect">
                      <a:avLst/>
                    </a:prstGeom>
                  </pic:spPr>
                </pic:pic>
              </a:graphicData>
            </a:graphic>
          </wp:anchor>
        </w:drawing>
      </w:r>
    </w:p>
    <w:p w:rsidR="00302DAA" w:rsidRDefault="00302DAA">
      <w:pPr>
        <w:rPr>
          <w:sz w:val="14"/>
        </w:rPr>
        <w:sectPr w:rsidR="00302DAA">
          <w:pgSz w:w="12240" w:h="15840"/>
          <w:pgMar w:top="1060" w:right="1600" w:bottom="780" w:left="400" w:header="617" w:footer="596" w:gutter="0"/>
          <w:cols w:space="720"/>
        </w:sectPr>
      </w:pPr>
    </w:p>
    <w:p w:rsidR="00302DAA" w:rsidRDefault="00DA4605">
      <w:pPr>
        <w:spacing w:before="121"/>
        <w:ind w:left="1256"/>
        <w:jc w:val="center"/>
        <w:rPr>
          <w:sz w:val="16"/>
        </w:rPr>
      </w:pPr>
      <w:r>
        <w:rPr>
          <w:sz w:val="16"/>
        </w:rPr>
        <w:lastRenderedPageBreak/>
        <w:t>.</w:t>
      </w:r>
    </w:p>
    <w:p w:rsidR="00302DAA" w:rsidRDefault="00DA4605">
      <w:pPr>
        <w:pStyle w:val="Textoindependiente"/>
        <w:spacing w:before="3"/>
        <w:rPr>
          <w:sz w:val="14"/>
        </w:rPr>
      </w:pPr>
      <w:r>
        <w:rPr>
          <w:noProof/>
          <w:lang w:val="es-GT" w:eastAsia="es-GT"/>
        </w:rPr>
        <w:drawing>
          <wp:anchor distT="0" distB="0" distL="0" distR="0" simplePos="0" relativeHeight="13" behindDoc="0" locked="0" layoutInCell="1" allowOverlap="1">
            <wp:simplePos x="0" y="0"/>
            <wp:positionH relativeFrom="page">
              <wp:posOffset>1187303</wp:posOffset>
            </wp:positionH>
            <wp:positionV relativeFrom="paragraph">
              <wp:posOffset>129502</wp:posOffset>
            </wp:positionV>
            <wp:extent cx="5247970" cy="7021068"/>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5" cstate="print"/>
                    <a:stretch>
                      <a:fillRect/>
                    </a:stretch>
                  </pic:blipFill>
                  <pic:spPr>
                    <a:xfrm>
                      <a:off x="0" y="0"/>
                      <a:ext cx="5247970" cy="7021068"/>
                    </a:xfrm>
                    <a:prstGeom prst="rect">
                      <a:avLst/>
                    </a:prstGeom>
                  </pic:spPr>
                </pic:pic>
              </a:graphicData>
            </a:graphic>
          </wp:anchor>
        </w:drawing>
      </w:r>
    </w:p>
    <w:p w:rsidR="00302DAA" w:rsidRDefault="00302DAA">
      <w:pPr>
        <w:rPr>
          <w:sz w:val="14"/>
        </w:rPr>
        <w:sectPr w:rsidR="00302DAA">
          <w:pgSz w:w="12240" w:h="15840"/>
          <w:pgMar w:top="1060" w:right="1600" w:bottom="780" w:left="400" w:header="617" w:footer="596" w:gutter="0"/>
          <w:cols w:space="720"/>
        </w:sectPr>
      </w:pPr>
    </w:p>
    <w:p w:rsidR="00302DAA" w:rsidRDefault="00DA4605">
      <w:pPr>
        <w:spacing w:before="121"/>
        <w:ind w:left="1256"/>
        <w:jc w:val="center"/>
        <w:rPr>
          <w:sz w:val="16"/>
        </w:rPr>
      </w:pPr>
      <w:r>
        <w:rPr>
          <w:sz w:val="16"/>
        </w:rPr>
        <w:lastRenderedPageBreak/>
        <w:t>.</w:t>
      </w:r>
    </w:p>
    <w:p w:rsidR="00302DAA" w:rsidRDefault="00DA4605">
      <w:pPr>
        <w:pStyle w:val="Textoindependiente"/>
        <w:spacing w:before="4"/>
        <w:rPr>
          <w:sz w:val="14"/>
        </w:rPr>
      </w:pPr>
      <w:r>
        <w:rPr>
          <w:noProof/>
          <w:lang w:val="es-GT" w:eastAsia="es-GT"/>
        </w:rPr>
        <w:drawing>
          <wp:anchor distT="0" distB="0" distL="0" distR="0" simplePos="0" relativeHeight="14" behindDoc="0" locked="0" layoutInCell="1" allowOverlap="1">
            <wp:simplePos x="0" y="0"/>
            <wp:positionH relativeFrom="page">
              <wp:posOffset>1187210</wp:posOffset>
            </wp:positionH>
            <wp:positionV relativeFrom="paragraph">
              <wp:posOffset>129791</wp:posOffset>
            </wp:positionV>
            <wp:extent cx="5140006" cy="6995159"/>
            <wp:effectExtent l="0" t="0" r="0"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6" cstate="print"/>
                    <a:stretch>
                      <a:fillRect/>
                    </a:stretch>
                  </pic:blipFill>
                  <pic:spPr>
                    <a:xfrm>
                      <a:off x="0" y="0"/>
                      <a:ext cx="5140006" cy="6995159"/>
                    </a:xfrm>
                    <a:prstGeom prst="rect">
                      <a:avLst/>
                    </a:prstGeom>
                  </pic:spPr>
                </pic:pic>
              </a:graphicData>
            </a:graphic>
          </wp:anchor>
        </w:drawing>
      </w:r>
    </w:p>
    <w:sectPr w:rsidR="00302DA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605" w:rsidRDefault="00DA4605">
      <w:r>
        <w:separator/>
      </w:r>
    </w:p>
  </w:endnote>
  <w:endnote w:type="continuationSeparator" w:id="0">
    <w:p w:rsidR="00DA4605" w:rsidRDefault="00DA4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DAA" w:rsidRDefault="00F22A7B">
    <w:pPr>
      <w:pStyle w:val="Textoindependiente"/>
      <w:spacing w:line="14" w:lineRule="auto"/>
      <w:rPr>
        <w:sz w:val="20"/>
      </w:rPr>
    </w:pPr>
    <w:r>
      <w:rPr>
        <w:noProof/>
        <w:lang w:val="es-GT" w:eastAsia="es-GT"/>
      </w:rPr>
      <mc:AlternateContent>
        <mc:Choice Requires="wpg">
          <w:drawing>
            <wp:anchor distT="0" distB="0" distL="114300" distR="114300" simplePos="0" relativeHeight="487435776"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DE4CCB" id="Group 3" o:spid="_x0000_s1026" style="position:absolute;margin-left:25pt;margin-top:748.2pt;width:502pt;height:28.8pt;z-index:-15880704;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3S8hxU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AYjDAAAA2wAAAA8AAABkcnMvZG93bnJldi54bWxEj81uwkAMhO+VeIeVkbiVDTkgFFgQP0Ki&#10;PVHgAaysSSKy3ii7hG2fvj5U6s3WjGc+rzbJtWqgPjSeDcymGSji0tuGKwO36/F9ASpEZIutZzLw&#10;TQE269HbCgvrX/xFwyVWSkI4FGigjrErtA5lTQ7D1HfEot197zDK2lfa9viScNfqPMvm2mHD0lBj&#10;R/uaysfl6QycWxqeeMo/u/09/7l+ZOmw42TMZJy2S1CRUvw3/12frOALvf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YBiMMAAADbAAAADwAAAAAAAAAAAAAAAACf&#10;AgAAZHJzL2Rvd25yZXYueG1sUEsFBgAAAAAEAAQA9wAAAI8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36288"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DAA" w:rsidRDefault="00DA460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302DAA" w:rsidRDefault="00DA460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6800"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DAA" w:rsidRDefault="00DA460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F22A7B">
                            <w:rPr>
                              <w:noProof/>
                              <w:color w:val="666666"/>
                              <w:sz w:val="1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302DAA" w:rsidRDefault="00DA460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F22A7B">
                      <w:rPr>
                        <w:noProof/>
                        <w:color w:val="666666"/>
                        <w:sz w:val="14"/>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605" w:rsidRDefault="00DA4605">
      <w:r>
        <w:separator/>
      </w:r>
    </w:p>
  </w:footnote>
  <w:footnote w:type="continuationSeparator" w:id="0">
    <w:p w:rsidR="00DA4605" w:rsidRDefault="00DA46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DAA" w:rsidRDefault="00F22A7B">
    <w:pPr>
      <w:pStyle w:val="Textoindependiente"/>
      <w:spacing w:line="14" w:lineRule="auto"/>
      <w:rPr>
        <w:sz w:val="20"/>
      </w:rPr>
    </w:pPr>
    <w:r>
      <w:rPr>
        <w:noProof/>
        <w:lang w:val="es-GT" w:eastAsia="es-GT"/>
      </w:rPr>
      <mc:AlternateContent>
        <mc:Choice Requires="wps">
          <w:drawing>
            <wp:anchor distT="0" distB="0" distL="114300" distR="114300" simplePos="0" relativeHeight="487434240"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A6616" id="Freeform 8" o:spid="_x0000_s1026" style="position:absolute;margin-left:85.05pt;margin-top:40.1pt;width:442pt;height:.75pt;z-index:-158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34752"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DAA" w:rsidRDefault="00DA4605">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302DAA" w:rsidRDefault="00DA4605">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3526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DAA" w:rsidRDefault="00DA460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302DAA" w:rsidRDefault="00DA4605">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AA"/>
    <w:rsid w:val="00302DAA"/>
    <w:rsid w:val="00DA4605"/>
    <w:rsid w:val="00F22A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9BE297-1F87-487C-9A70-AD14AE7E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976</Words>
  <Characters>5368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2021-03-01T14:02:00Z</dcterms:created>
  <dcterms:modified xsi:type="dcterms:W3CDTF">2021-03-01T14:02:00Z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2021-03-01T00:00:00Z</vt:filetime>
  </property>
</Properties>
</file>