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78159F7F" w:rsidR="00560641" w:rsidRDefault="0077453D" w:rsidP="002929A9">
      <w:pPr>
        <w:jc w:val="both"/>
        <w:rPr>
          <w:rFonts w:ascii="Arial" w:hAnsi="Arial" w:cs="Arial"/>
          <w:sz w:val="22"/>
          <w:szCs w:val="22"/>
        </w:rPr>
      </w:pPr>
      <w:r w:rsidRPr="0077453D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471959E3" wp14:editId="09179005">
            <wp:extent cx="7111365" cy="2276709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227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7F3F9D22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funcionamient</w:t>
      </w:r>
      <w:r w:rsidR="00F908BE">
        <w:rPr>
          <w:rFonts w:ascii="Arial" w:hAnsi="Arial" w:cs="Arial"/>
          <w:sz w:val="22"/>
          <w:szCs w:val="22"/>
          <w:lang w:val="es-GT"/>
        </w:rPr>
        <w:t>o 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el ingreso </w:t>
      </w:r>
      <w:r w:rsidR="00D9593A">
        <w:rPr>
          <w:rFonts w:ascii="Arial" w:hAnsi="Arial" w:cs="Arial"/>
          <w:sz w:val="22"/>
          <w:szCs w:val="22"/>
          <w:lang w:val="es-GT"/>
        </w:rPr>
        <w:t xml:space="preserve">y revisión </w:t>
      </w:r>
      <w:r w:rsidR="00AB5587" w:rsidRPr="00A83DED">
        <w:rPr>
          <w:rFonts w:ascii="Arial" w:hAnsi="Arial" w:cs="Arial"/>
          <w:sz w:val="22"/>
          <w:szCs w:val="22"/>
          <w:lang w:val="es-GT"/>
        </w:rPr>
        <w:t>del expediente, la visita ocular al centro educativo privado hasta la emisión de resolución de autorización de funcionamiento y registro de cuotas educativas.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130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24"/>
        <w:gridCol w:w="461"/>
        <w:gridCol w:w="7912"/>
        <w:gridCol w:w="310"/>
      </w:tblGrid>
      <w:tr w:rsidR="001E2735" w:rsidRPr="00CA1D45" w14:paraId="799F0C1D" w14:textId="77777777" w:rsidTr="00D25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8683" w:type="dxa"/>
            <w:gridSpan w:val="3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D251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D2511D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F26D89" w:rsidRPr="00D2511D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D2511D">
        <w:trPr>
          <w:gridAfter w:val="1"/>
          <w:wAfter w:w="3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D251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57FD8573" w:rsidR="00F26D89" w:rsidRPr="00CA1D45" w:rsidRDefault="00F26D89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 w:rsidR="008952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74440165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F674CD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CEBD914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5CF7C76" w14:textId="77777777" w:rsidR="00984DF1" w:rsidRDefault="00984DF1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EF3B0CD" w14:textId="77777777" w:rsidR="00A77EE5" w:rsidRPr="00CA1D4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3B2BA550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Autorización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y</w:t>
      </w:r>
      <w:r w:rsidR="00273AF7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funcionamiento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0F1FA7BC" w:rsidR="00862DDD" w:rsidRPr="00CA1D45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Guía de Usuario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="001E1FF7" w:rsidRPr="00D178C6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D178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8BE"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357CF1" w:rsidRPr="00D178C6">
              <w:rPr>
                <w:rFonts w:ascii="Arial" w:hAnsi="Arial" w:cs="Arial"/>
                <w:sz w:val="22"/>
                <w:szCs w:val="22"/>
              </w:rPr>
              <w:t>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E4D85DA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30093473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4621CCEF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la documentación administrativa, al Coordinador de Acreditamiento y Certificación de la DIDEDUC y solicita dictamen técnico, en un período máximo de 5 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11300953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Revisa los documentos administrativos </w:t>
            </w:r>
            <w:r w:rsidR="00D9593A" w:rsidRPr="00CA1D45">
              <w:rPr>
                <w:rFonts w:ascii="Arial" w:hAnsi="Arial" w:cs="Arial"/>
                <w:sz w:val="22"/>
                <w:szCs w:val="22"/>
              </w:rPr>
              <w:t>de acuerdo con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5FDF3224" w:rsidR="00D75597" w:rsidRPr="00CA1D45" w:rsidRDefault="00F908B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F149EE" w:rsidRPr="00D178C6">
              <w:rPr>
                <w:rFonts w:ascii="Arial" w:hAnsi="Arial" w:cs="Arial"/>
                <w:sz w:val="22"/>
                <w:szCs w:val="22"/>
              </w:rPr>
              <w:t>-FOR-0</w:t>
            </w:r>
            <w:r w:rsidR="00E2211D">
              <w:rPr>
                <w:rFonts w:ascii="Arial" w:hAnsi="Arial" w:cs="Arial"/>
                <w:sz w:val="22"/>
                <w:szCs w:val="22"/>
              </w:rPr>
              <w:t>5</w:t>
            </w:r>
            <w:r w:rsidR="00274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</w:t>
            </w:r>
            <w:r w:rsidR="004615E2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D9593A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autorización de funcionamiento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60BD67A" w14:textId="77777777" w:rsidR="00F908BE" w:rsidRDefault="00F908BE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63495D95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</w:t>
            </w:r>
            <w:r w:rsidR="001408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>quien deberá responder en un término no mayor a 10 días hábiles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191D" w:rsidRPr="00F908BE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376AF5" w:rsidRPr="00F908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171AC" w14:textId="7A213B0B" w:rsidR="007A2CC7" w:rsidRPr="00CA1D45" w:rsidRDefault="00461C66" w:rsidP="00D2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10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2AE00" w14:textId="77777777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72FFEA6B" w:rsidR="00862DDD" w:rsidRPr="00CA1D45" w:rsidRDefault="002D43FB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Emitido el dictamen técnico favorable, </w:t>
            </w:r>
            <w:r w:rsidR="005E6A4B">
              <w:rPr>
                <w:rFonts w:ascii="Arial" w:hAnsi="Arial" w:cs="Arial"/>
                <w:sz w:val="22"/>
                <w:szCs w:val="22"/>
              </w:rPr>
              <w:t>solicita a la Unidad de Planificación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B4A16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que designe al </w:t>
            </w:r>
            <w:r w:rsidR="00151B9D" w:rsidRPr="00CA1D45">
              <w:rPr>
                <w:rFonts w:ascii="Arial" w:hAnsi="Arial" w:cs="Arial"/>
                <w:sz w:val="22"/>
                <w:szCs w:val="22"/>
              </w:rPr>
              <w:t>profesional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 xml:space="preserve"> lleve a cabo </w:t>
            </w:r>
            <w:r w:rsidR="00966B92" w:rsidRPr="00CA1D45">
              <w:rPr>
                <w:rFonts w:ascii="Arial" w:hAnsi="Arial" w:cs="Arial"/>
                <w:sz w:val="22"/>
                <w:szCs w:val="22"/>
              </w:rPr>
              <w:t>la visita ocular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27DF" w:rsidRPr="00CA1D45" w14:paraId="27117E69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A481C37" w14:textId="2F443083" w:rsidR="009A6E93" w:rsidRPr="00CA1D45" w:rsidRDefault="00F908B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6B6F6430" w14:textId="2FDC6F05" w:rsidR="00BB27DF" w:rsidRPr="00CA1D45" w:rsidRDefault="00A62428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Recibir, notificar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nombra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 profesional</w:t>
            </w:r>
          </w:p>
        </w:tc>
        <w:tc>
          <w:tcPr>
            <w:tcW w:w="1112" w:type="dxa"/>
            <w:vAlign w:val="center"/>
          </w:tcPr>
          <w:p w14:paraId="2B636918" w14:textId="51F1DE37" w:rsidR="00BB27DF" w:rsidRPr="00CA1D45" w:rsidRDefault="005E6A4B" w:rsidP="00BB2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Profesional de la Unidad de Planificación de la Dideduc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FC387AD" w14:textId="10981278" w:rsidR="00BB27DF" w:rsidRPr="00CA1D45" w:rsidRDefault="0031642F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908BE">
              <w:rPr>
                <w:rFonts w:ascii="Arial" w:hAnsi="Arial" w:cs="Arial"/>
                <w:sz w:val="22"/>
                <w:szCs w:val="22"/>
              </w:rPr>
              <w:t>d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el Coordinador de Acreditamiento y Certificación DIDEDUC, la solicitud para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nombrar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profesional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que realizará la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visita ocular 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>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sede</w:t>
            </w:r>
            <w:r w:rsidR="00F908BE">
              <w:rPr>
                <w:rFonts w:ascii="Arial" w:hAnsi="Arial" w:cs="Arial"/>
                <w:sz w:val="22"/>
                <w:szCs w:val="22"/>
              </w:rPr>
              <w:t xml:space="preserve"> traslada datos generales para llevarla a cabo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38B60A" w14:textId="77777777" w:rsidR="00A133BA" w:rsidRPr="00CA1D45" w:rsidRDefault="00A133BA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C6E55" w14:textId="40374B40" w:rsidR="0052693A" w:rsidRPr="00CA1D45" w:rsidRDefault="00A133BA" w:rsidP="00A62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Nombra</w:t>
            </w:r>
            <w:r w:rsidR="00376AF5">
              <w:rPr>
                <w:rFonts w:ascii="Arial" w:hAnsi="Arial" w:cs="Arial"/>
                <w:sz w:val="22"/>
                <w:szCs w:val="22"/>
              </w:rPr>
              <w:t>, en un plazo máximo de tres días hábiles,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 xml:space="preserve">profesional que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realizar</w:t>
            </w:r>
            <w:r w:rsidR="005E6A4B">
              <w:rPr>
                <w:rFonts w:ascii="Arial" w:hAnsi="Arial" w:cs="Arial"/>
                <w:sz w:val="22"/>
                <w:szCs w:val="22"/>
              </w:rPr>
              <w:t>á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 la visita ocular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solicita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emitir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7A27BBB7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52B3937" w14:textId="3C8C02FA" w:rsidR="00862DDD" w:rsidRPr="00CA1D45" w:rsidRDefault="006C072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E027A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463EE03A" w14:textId="61518677" w:rsidR="00862DDD" w:rsidRPr="00CA1D45" w:rsidRDefault="00495CA0" w:rsidP="00495C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Realizar v</w:t>
            </w:r>
            <w:r w:rsidR="00AE12F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isita ocular y 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mitir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 técnico</w:t>
            </w:r>
          </w:p>
        </w:tc>
        <w:tc>
          <w:tcPr>
            <w:tcW w:w="1112" w:type="dxa"/>
            <w:vAlign w:val="center"/>
          </w:tcPr>
          <w:p w14:paraId="752CE476" w14:textId="4BA09467" w:rsidR="00495CA0" w:rsidRPr="00CA1D45" w:rsidRDefault="00495CA0" w:rsidP="00495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Profesional </w:t>
            </w:r>
            <w:r w:rsidR="005E6A4B">
              <w:rPr>
                <w:rFonts w:ascii="Arial" w:hAnsi="Arial" w:cs="Arial"/>
                <w:sz w:val="14"/>
                <w:szCs w:val="14"/>
              </w:rPr>
              <w:t>de la Unidad de Planificación de la Dideduc</w:t>
            </w:r>
            <w:r w:rsidR="005E6A4B" w:rsidRPr="00CA1D45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6458970" w14:textId="2636A8DE" w:rsidR="00AE12F7" w:rsidRPr="00CA1D45" w:rsidRDefault="00862DDD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nombramiento y </w:t>
            </w:r>
            <w:r w:rsidR="005E6A4B">
              <w:rPr>
                <w:rFonts w:ascii="Arial" w:hAnsi="Arial" w:cs="Arial"/>
                <w:sz w:val="22"/>
                <w:szCs w:val="22"/>
              </w:rPr>
              <w:t>datos generales del centro educativo privado, para realizar la visita ocular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B67038" w14:textId="77777777" w:rsidR="00AE12F7" w:rsidRPr="00CA1D45" w:rsidRDefault="00AE12F7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BE8B7" w14:textId="7C2DFFE1" w:rsidR="00651322" w:rsidRPr="00CA1D45" w:rsidRDefault="009A6E93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ealiza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la visita ocular a la sede del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centro educativo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privado,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según</w:t>
            </w:r>
            <w:r w:rsidR="00F170A9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lineamientos de la Dirección de Planificación, DIPLAN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B3758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7810C2" w14:textId="49775ADB" w:rsidR="00862DDD" w:rsidRPr="00CA1D45" w:rsidRDefault="00651322" w:rsidP="00651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lastRenderedPageBreak/>
              <w:t xml:space="preserve">Emite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en sentido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favorable o no favorable y lo </w:t>
            </w: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Unidad/Departamento de Acreditamiento y Certificación de la DIDEDUC</w:t>
            </w:r>
            <w:r w:rsidR="00BA7164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dentro de los 5 días hábiles después de haber sido notificado.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5A589FB2" w:rsidR="002B0FB1" w:rsidRPr="00CA1D45" w:rsidRDefault="006C072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C1EBD8D" w14:textId="332950CB" w:rsidR="002B0FB1" w:rsidRPr="00CA1D45" w:rsidRDefault="002B0FB1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5E6A4B" w:rsidRPr="00CA1D45">
              <w:rPr>
                <w:rFonts w:ascii="Arial" w:hAnsi="Arial" w:cs="Arial"/>
                <w:sz w:val="22"/>
                <w:szCs w:val="22"/>
              </w:rPr>
              <w:t>dictamen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técnico </w:t>
            </w:r>
            <w:r w:rsidR="00705F9C" w:rsidRPr="00CA1D45">
              <w:rPr>
                <w:rFonts w:ascii="Arial" w:hAnsi="Arial" w:cs="Arial"/>
                <w:sz w:val="22"/>
                <w:szCs w:val="22"/>
              </w:rPr>
              <w:t xml:space="preserve">emitido por </w:t>
            </w:r>
            <w:r w:rsidR="005E6A4B">
              <w:rPr>
                <w:rFonts w:ascii="Arial" w:hAnsi="Arial" w:cs="Arial"/>
                <w:sz w:val="22"/>
                <w:szCs w:val="22"/>
              </w:rPr>
              <w:t>la Unidad de Planificación de la Dideduc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y lo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993028" w:rsidRPr="00CA1D45">
              <w:rPr>
                <w:rFonts w:ascii="Arial" w:hAnsi="Arial" w:cs="Arial"/>
                <w:sz w:val="22"/>
                <w:szCs w:val="22"/>
              </w:rPr>
              <w:t xml:space="preserve">ncorpora </w:t>
            </w:r>
            <w:r w:rsidR="00411A36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AE1C3D" w:rsidRPr="00CA1D45">
              <w:rPr>
                <w:rFonts w:ascii="Arial" w:hAnsi="Arial" w:cs="Arial"/>
                <w:sz w:val="22"/>
                <w:szCs w:val="22"/>
              </w:rPr>
              <w:t xml:space="preserve"> expediente. </w:t>
            </w:r>
          </w:p>
          <w:p w14:paraId="425ABD3D" w14:textId="77777777" w:rsidR="009B719F" w:rsidRPr="00CA1D45" w:rsidRDefault="009B719F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2DA07D" w14:textId="607D1CC1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los </w:t>
            </w:r>
            <w:r w:rsidR="005E6A4B">
              <w:rPr>
                <w:rFonts w:ascii="Arial" w:hAnsi="Arial" w:cs="Arial"/>
                <w:sz w:val="22"/>
                <w:szCs w:val="22"/>
              </w:rPr>
              <w:t>dos</w:t>
            </w:r>
            <w:r>
              <w:rPr>
                <w:rFonts w:ascii="Arial" w:hAnsi="Arial" w:cs="Arial"/>
                <w:sz w:val="22"/>
                <w:szCs w:val="22"/>
              </w:rPr>
              <w:t xml:space="preserve"> dictámenes </w:t>
            </w:r>
            <w:r w:rsidRPr="005E6A4B">
              <w:rPr>
                <w:rFonts w:ascii="Arial" w:hAnsi="Arial" w:cs="Arial"/>
                <w:sz w:val="22"/>
                <w:szCs w:val="22"/>
              </w:rPr>
              <w:t>son favorables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5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0F0DD904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uno de los </w:t>
            </w:r>
            <w:r w:rsidR="005E6A4B" w:rsidRPr="005E6A4B">
              <w:rPr>
                <w:rFonts w:ascii="Arial" w:hAnsi="Arial" w:cs="Arial"/>
                <w:sz w:val="22"/>
                <w:szCs w:val="22"/>
              </w:rPr>
              <w:t>dos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dictámenes es no favorable, elabora anteproyecto de resolución no favorable y traslada al despacho del Director Departamental de Educación para firma y sello respectivo, en un período máximo de 5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53915475" w:rsidR="002B0FB1" w:rsidRPr="00CA1D45" w:rsidRDefault="006C072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70B101B3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revisa,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sella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autorización de funcionamiento </w:t>
            </w:r>
            <w:r w:rsidR="005E6A4B">
              <w:rPr>
                <w:rFonts w:ascii="Arial" w:hAnsi="Arial" w:cs="Arial"/>
                <w:sz w:val="22"/>
                <w:szCs w:val="22"/>
              </w:rPr>
              <w:t>del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 educativo privado, 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>en caso sea favorable</w:t>
            </w:r>
            <w:r w:rsidR="00663F71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tendrá una vigencia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</w:t>
            </w:r>
            <w:r w:rsidR="0099404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>5 años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0E1BD522" w:rsidR="002B0FB1" w:rsidRPr="00CA1D45" w:rsidRDefault="006C072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6D97B6F3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1FAFB4E3" w:rsidR="00FA6DCA" w:rsidRPr="00CA1D45" w:rsidRDefault="006C072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0EC705A6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Notifica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</w:t>
            </w:r>
            <w:r w:rsidR="003475E7">
              <w:rPr>
                <w:rFonts w:ascii="Arial" w:hAnsi="Arial" w:cs="Arial"/>
                <w:sz w:val="22"/>
                <w:szCs w:val="22"/>
              </w:rPr>
              <w:t>o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2C93FCB0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 al usuario que debe tramitar el código de nivel de los servicios educativos autorizados 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02A7" w:rsidRPr="00CA1D45" w14:paraId="4C1C687A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743600AD" w14:textId="53DA684B" w:rsidR="008C02A7" w:rsidRPr="00CA1D45" w:rsidRDefault="006C072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8C02A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Registrar cuotas autorizadas en el Sistema de </w:t>
            </w:r>
            <w:r w:rsidR="002C7A8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="008C02A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uotas</w:t>
            </w:r>
          </w:p>
        </w:tc>
        <w:tc>
          <w:tcPr>
            <w:tcW w:w="1112" w:type="dxa"/>
            <w:vAlign w:val="center"/>
          </w:tcPr>
          <w:p w14:paraId="728CA7A2" w14:textId="77777777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6C4E269" w14:textId="1907F50E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A2EAFD5" w14:textId="133AA4E3" w:rsidR="008C02A7" w:rsidRPr="00CA1D45" w:rsidRDefault="002E75C1" w:rsidP="002E7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Registra las cuotas autorizadas en la resolución de autorización de funcionamiento, en el </w:t>
            </w:r>
            <w:r w:rsidR="005E6A4B">
              <w:rPr>
                <w:rFonts w:ascii="Arial" w:hAnsi="Arial" w:cs="Arial"/>
                <w:sz w:val="22"/>
                <w:szCs w:val="22"/>
              </w:rPr>
              <w:t>módulo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c</w:t>
            </w:r>
            <w:r w:rsidRPr="00CA1D45">
              <w:rPr>
                <w:rFonts w:ascii="Arial" w:hAnsi="Arial" w:cs="Arial"/>
                <w:sz w:val="22"/>
                <w:szCs w:val="22"/>
              </w:rPr>
              <w:t>uotas de Centros Educativos Privados</w:t>
            </w:r>
            <w:r w:rsidR="005E6A4B">
              <w:rPr>
                <w:rFonts w:ascii="Arial" w:hAnsi="Arial" w:cs="Arial"/>
                <w:sz w:val="22"/>
                <w:szCs w:val="22"/>
              </w:rPr>
              <w:t>, del Sistema de Registros Educativos SIRE</w:t>
            </w:r>
            <w:r w:rsidRPr="00CA1D45">
              <w:rPr>
                <w:rFonts w:ascii="Arial" w:hAnsi="Arial" w:cs="Arial"/>
                <w:sz w:val="22"/>
                <w:szCs w:val="22"/>
              </w:rPr>
              <w:t>, según la Guía publicada en el sitio Web del Ministerio de Educación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260075" w14:textId="04043624" w:rsidR="00862DDD" w:rsidRPr="00CA1D45" w:rsidRDefault="005E6A4B" w:rsidP="009740E6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52735D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057C0F24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</w:t>
            </w:r>
            <w:r w:rsidR="00E2211D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956" w:type="pct"/>
          </w:tcPr>
          <w:p w14:paraId="1F1CC435" w14:textId="13132230" w:rsidR="00862DDD" w:rsidRPr="00CA1D45" w:rsidRDefault="00862DDD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451718">
              <w:rPr>
                <w:rFonts w:ascii="Arial" w:hAnsi="Arial" w:cs="Arial"/>
                <w:bCs/>
                <w:sz w:val="22"/>
                <w:szCs w:val="22"/>
                <w:lang w:val="es-ES"/>
              </w:rPr>
              <w:t>de autorización de funcionamiento</w:t>
            </w:r>
          </w:p>
        </w:tc>
      </w:tr>
      <w:tr w:rsidR="005E6A4B" w:rsidRPr="00CA1D45" w14:paraId="55F70468" w14:textId="77777777" w:rsidTr="00862DDD">
        <w:tc>
          <w:tcPr>
            <w:tcW w:w="267" w:type="pct"/>
            <w:vAlign w:val="center"/>
          </w:tcPr>
          <w:p w14:paraId="18A30799" w14:textId="2285B6B1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 w:rsidR="00060F23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4167393F" w14:textId="20C13BC2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300BF65C" w14:textId="54C271AF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05786" w14:textId="77777777" w:rsidR="001A2843" w:rsidRDefault="001A2843" w:rsidP="003D767C">
      <w:r>
        <w:separator/>
      </w:r>
    </w:p>
  </w:endnote>
  <w:endnote w:type="continuationSeparator" w:id="0">
    <w:p w14:paraId="4FADF7F1" w14:textId="77777777" w:rsidR="001A2843" w:rsidRDefault="001A284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98BE" w14:textId="77777777" w:rsidR="001A2843" w:rsidRDefault="001A2843" w:rsidP="003D767C">
      <w:r>
        <w:separator/>
      </w:r>
    </w:p>
  </w:footnote>
  <w:footnote w:type="continuationSeparator" w:id="0">
    <w:p w14:paraId="619EBF13" w14:textId="77777777" w:rsidR="001A2843" w:rsidRDefault="001A284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0BD0086" w:rsidR="009740E6" w:rsidRPr="00823A74" w:rsidRDefault="00B14064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3</w:t>
    </w:r>
    <w:r w:rsidR="009740E6"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3EE7C346" w:rsidR="009740E6" w:rsidRPr="00823A74" w:rsidRDefault="009740E6" w:rsidP="004F6AC5">
          <w:pPr>
            <w:jc w:val="center"/>
            <w:rPr>
              <w:rFonts w:ascii="Arial" w:hAnsi="Arial" w:cs="Arial"/>
              <w:b/>
              <w:sz w:val="24"/>
            </w:rPr>
          </w:pPr>
          <w:r w:rsidRPr="00EE4EE0">
            <w:rPr>
              <w:rFonts w:ascii="Arial" w:hAnsi="Arial" w:cs="Arial"/>
              <w:b/>
              <w:sz w:val="24"/>
            </w:rPr>
            <w:t xml:space="preserve">AUTORIZACIÓN </w:t>
          </w:r>
          <w:r w:rsidR="00276196">
            <w:rPr>
              <w:rFonts w:ascii="Arial" w:hAnsi="Arial" w:cs="Arial"/>
              <w:b/>
              <w:sz w:val="24"/>
            </w:rPr>
            <w:t>DE</w:t>
          </w:r>
          <w:r w:rsidR="00F908BE" w:rsidRPr="00EE4EE0">
            <w:rPr>
              <w:rFonts w:ascii="Arial" w:hAnsi="Arial" w:cs="Arial"/>
              <w:b/>
              <w:sz w:val="24"/>
            </w:rPr>
            <w:t xml:space="preserve"> FUNCIONAMIENTO DE</w:t>
          </w:r>
          <w:r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13ADF5E6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276196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08DB90DE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-INS-0</w:t>
          </w:r>
          <w:r w:rsidR="00E2211D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6EC66A9D" w:rsidR="009740E6" w:rsidRPr="00504819" w:rsidRDefault="009740E6" w:rsidP="0088113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88113F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5F7403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5F7403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6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28"/>
  </w:num>
  <w:num w:numId="4">
    <w:abstractNumId w:val="11"/>
  </w:num>
  <w:num w:numId="5">
    <w:abstractNumId w:val="39"/>
  </w:num>
  <w:num w:numId="6">
    <w:abstractNumId w:val="23"/>
  </w:num>
  <w:num w:numId="7">
    <w:abstractNumId w:val="41"/>
  </w:num>
  <w:num w:numId="8">
    <w:abstractNumId w:val="22"/>
  </w:num>
  <w:num w:numId="9">
    <w:abstractNumId w:val="8"/>
  </w:num>
  <w:num w:numId="10">
    <w:abstractNumId w:val="44"/>
  </w:num>
  <w:num w:numId="11">
    <w:abstractNumId w:val="31"/>
  </w:num>
  <w:num w:numId="12">
    <w:abstractNumId w:val="21"/>
  </w:num>
  <w:num w:numId="13">
    <w:abstractNumId w:val="24"/>
  </w:num>
  <w:num w:numId="14">
    <w:abstractNumId w:val="15"/>
  </w:num>
  <w:num w:numId="15">
    <w:abstractNumId w:val="42"/>
  </w:num>
  <w:num w:numId="16">
    <w:abstractNumId w:val="32"/>
  </w:num>
  <w:num w:numId="17">
    <w:abstractNumId w:val="33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34"/>
  </w:num>
  <w:num w:numId="25">
    <w:abstractNumId w:val="26"/>
  </w:num>
  <w:num w:numId="26">
    <w:abstractNumId w:val="9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27"/>
  </w:num>
  <w:num w:numId="32">
    <w:abstractNumId w:val="14"/>
  </w:num>
  <w:num w:numId="33">
    <w:abstractNumId w:val="19"/>
  </w:num>
  <w:num w:numId="34">
    <w:abstractNumId w:val="6"/>
  </w:num>
  <w:num w:numId="35">
    <w:abstractNumId w:val="43"/>
  </w:num>
  <w:num w:numId="36">
    <w:abstractNumId w:val="29"/>
  </w:num>
  <w:num w:numId="37">
    <w:abstractNumId w:val="30"/>
  </w:num>
  <w:num w:numId="38">
    <w:abstractNumId w:val="25"/>
  </w:num>
  <w:num w:numId="39">
    <w:abstractNumId w:val="18"/>
  </w:num>
  <w:num w:numId="40">
    <w:abstractNumId w:val="13"/>
  </w:num>
  <w:num w:numId="41">
    <w:abstractNumId w:val="7"/>
  </w:num>
  <w:num w:numId="42">
    <w:abstractNumId w:val="40"/>
  </w:num>
  <w:num w:numId="43">
    <w:abstractNumId w:val="37"/>
  </w:num>
  <w:num w:numId="44">
    <w:abstractNumId w:val="35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421B"/>
    <w:rsid w:val="00022322"/>
    <w:rsid w:val="00022A74"/>
    <w:rsid w:val="000233EA"/>
    <w:rsid w:val="00025DDB"/>
    <w:rsid w:val="00040A4D"/>
    <w:rsid w:val="0004369C"/>
    <w:rsid w:val="00043AD0"/>
    <w:rsid w:val="00045A4B"/>
    <w:rsid w:val="000474CC"/>
    <w:rsid w:val="00051689"/>
    <w:rsid w:val="00060F23"/>
    <w:rsid w:val="00061FE8"/>
    <w:rsid w:val="000634C9"/>
    <w:rsid w:val="0006356F"/>
    <w:rsid w:val="00063A1B"/>
    <w:rsid w:val="00067300"/>
    <w:rsid w:val="0006777F"/>
    <w:rsid w:val="000725CD"/>
    <w:rsid w:val="00076E46"/>
    <w:rsid w:val="0008435B"/>
    <w:rsid w:val="00084438"/>
    <w:rsid w:val="000A0FA6"/>
    <w:rsid w:val="000A3B27"/>
    <w:rsid w:val="000A4B3F"/>
    <w:rsid w:val="000B0A5D"/>
    <w:rsid w:val="000B344B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0FE6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2843"/>
    <w:rsid w:val="001A7251"/>
    <w:rsid w:val="001A76B4"/>
    <w:rsid w:val="001A7F11"/>
    <w:rsid w:val="001A7FB7"/>
    <w:rsid w:val="001B1335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24A"/>
    <w:rsid w:val="002054D2"/>
    <w:rsid w:val="00206774"/>
    <w:rsid w:val="00217858"/>
    <w:rsid w:val="002216A8"/>
    <w:rsid w:val="0022204C"/>
    <w:rsid w:val="002228EB"/>
    <w:rsid w:val="0023482E"/>
    <w:rsid w:val="0024191D"/>
    <w:rsid w:val="00243CB9"/>
    <w:rsid w:val="002573D6"/>
    <w:rsid w:val="002731C6"/>
    <w:rsid w:val="00273AF7"/>
    <w:rsid w:val="00274141"/>
    <w:rsid w:val="00275839"/>
    <w:rsid w:val="00276196"/>
    <w:rsid w:val="002771C7"/>
    <w:rsid w:val="00285158"/>
    <w:rsid w:val="002851EA"/>
    <w:rsid w:val="002929A9"/>
    <w:rsid w:val="0029731D"/>
    <w:rsid w:val="002977EB"/>
    <w:rsid w:val="002A54D8"/>
    <w:rsid w:val="002B0FB1"/>
    <w:rsid w:val="002B1C88"/>
    <w:rsid w:val="002B5E39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26AF"/>
    <w:rsid w:val="002E75C1"/>
    <w:rsid w:val="002F289C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403"/>
    <w:rsid w:val="003475E7"/>
    <w:rsid w:val="00350DB4"/>
    <w:rsid w:val="0035708F"/>
    <w:rsid w:val="00357CF1"/>
    <w:rsid w:val="00360C36"/>
    <w:rsid w:val="00362EED"/>
    <w:rsid w:val="003706E1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C15AA"/>
    <w:rsid w:val="003C20C0"/>
    <w:rsid w:val="003C294B"/>
    <w:rsid w:val="003D1FED"/>
    <w:rsid w:val="003D767C"/>
    <w:rsid w:val="003E404C"/>
    <w:rsid w:val="003F26D0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32F5F"/>
    <w:rsid w:val="004457B5"/>
    <w:rsid w:val="00451718"/>
    <w:rsid w:val="004568B4"/>
    <w:rsid w:val="004615E2"/>
    <w:rsid w:val="00461C66"/>
    <w:rsid w:val="00462D79"/>
    <w:rsid w:val="0047133B"/>
    <w:rsid w:val="00473F15"/>
    <w:rsid w:val="00480DD0"/>
    <w:rsid w:val="00485FAF"/>
    <w:rsid w:val="00493988"/>
    <w:rsid w:val="00494C45"/>
    <w:rsid w:val="0049580A"/>
    <w:rsid w:val="00495CA0"/>
    <w:rsid w:val="004A5E1A"/>
    <w:rsid w:val="004A7732"/>
    <w:rsid w:val="004B28F0"/>
    <w:rsid w:val="004B7503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4F74D8"/>
    <w:rsid w:val="0050558E"/>
    <w:rsid w:val="00515478"/>
    <w:rsid w:val="0052264F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E35D1"/>
    <w:rsid w:val="005E6A4B"/>
    <w:rsid w:val="005F17FB"/>
    <w:rsid w:val="005F1836"/>
    <w:rsid w:val="005F3933"/>
    <w:rsid w:val="005F6DD1"/>
    <w:rsid w:val="005F7403"/>
    <w:rsid w:val="005F7577"/>
    <w:rsid w:val="006034AC"/>
    <w:rsid w:val="00612068"/>
    <w:rsid w:val="00612C67"/>
    <w:rsid w:val="00615631"/>
    <w:rsid w:val="00616EEB"/>
    <w:rsid w:val="0062186D"/>
    <w:rsid w:val="00623E0F"/>
    <w:rsid w:val="0063123E"/>
    <w:rsid w:val="00631714"/>
    <w:rsid w:val="00633FC3"/>
    <w:rsid w:val="006354AE"/>
    <w:rsid w:val="0064131B"/>
    <w:rsid w:val="006476DB"/>
    <w:rsid w:val="0065055D"/>
    <w:rsid w:val="00651322"/>
    <w:rsid w:val="00651503"/>
    <w:rsid w:val="0065215B"/>
    <w:rsid w:val="00652E7F"/>
    <w:rsid w:val="0065530A"/>
    <w:rsid w:val="00663F71"/>
    <w:rsid w:val="0066615A"/>
    <w:rsid w:val="006670D2"/>
    <w:rsid w:val="0067158D"/>
    <w:rsid w:val="0067323E"/>
    <w:rsid w:val="006779B3"/>
    <w:rsid w:val="00680733"/>
    <w:rsid w:val="00680E60"/>
    <w:rsid w:val="00684BF0"/>
    <w:rsid w:val="00691705"/>
    <w:rsid w:val="00691C41"/>
    <w:rsid w:val="006A1690"/>
    <w:rsid w:val="006A47ED"/>
    <w:rsid w:val="006A73CE"/>
    <w:rsid w:val="006B0823"/>
    <w:rsid w:val="006B3465"/>
    <w:rsid w:val="006C0729"/>
    <w:rsid w:val="006C1ABA"/>
    <w:rsid w:val="006C70D6"/>
    <w:rsid w:val="006D224E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0DD2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60AED"/>
    <w:rsid w:val="00763DAD"/>
    <w:rsid w:val="00770B26"/>
    <w:rsid w:val="00771BEE"/>
    <w:rsid w:val="00773FD9"/>
    <w:rsid w:val="0077453D"/>
    <w:rsid w:val="007814C1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1B50"/>
    <w:rsid w:val="00805035"/>
    <w:rsid w:val="00817218"/>
    <w:rsid w:val="008175CD"/>
    <w:rsid w:val="00821EA2"/>
    <w:rsid w:val="008236E3"/>
    <w:rsid w:val="00823A74"/>
    <w:rsid w:val="00834360"/>
    <w:rsid w:val="008373F4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113F"/>
    <w:rsid w:val="00887B4A"/>
    <w:rsid w:val="008952EE"/>
    <w:rsid w:val="008A34D0"/>
    <w:rsid w:val="008A404F"/>
    <w:rsid w:val="008A6CAB"/>
    <w:rsid w:val="008A6E72"/>
    <w:rsid w:val="008A704C"/>
    <w:rsid w:val="008A786E"/>
    <w:rsid w:val="008B4A30"/>
    <w:rsid w:val="008B6D5E"/>
    <w:rsid w:val="008C02A7"/>
    <w:rsid w:val="008C29BA"/>
    <w:rsid w:val="008C375B"/>
    <w:rsid w:val="008C4D30"/>
    <w:rsid w:val="008C5FEC"/>
    <w:rsid w:val="008C7C7E"/>
    <w:rsid w:val="008D13C5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3F0F"/>
    <w:rsid w:val="009275F8"/>
    <w:rsid w:val="009278B5"/>
    <w:rsid w:val="00930271"/>
    <w:rsid w:val="00931171"/>
    <w:rsid w:val="00935F0A"/>
    <w:rsid w:val="00944A9F"/>
    <w:rsid w:val="009525BE"/>
    <w:rsid w:val="00953D18"/>
    <w:rsid w:val="0095660D"/>
    <w:rsid w:val="00960ED9"/>
    <w:rsid w:val="00966B92"/>
    <w:rsid w:val="00967D84"/>
    <w:rsid w:val="00973108"/>
    <w:rsid w:val="009740E6"/>
    <w:rsid w:val="009745F6"/>
    <w:rsid w:val="00974E63"/>
    <w:rsid w:val="00975594"/>
    <w:rsid w:val="00977361"/>
    <w:rsid w:val="00984DF1"/>
    <w:rsid w:val="009873AB"/>
    <w:rsid w:val="00990E67"/>
    <w:rsid w:val="00993028"/>
    <w:rsid w:val="0099404A"/>
    <w:rsid w:val="0099525E"/>
    <w:rsid w:val="00997308"/>
    <w:rsid w:val="009A0BDF"/>
    <w:rsid w:val="009A4EBD"/>
    <w:rsid w:val="009A6E93"/>
    <w:rsid w:val="009B1B55"/>
    <w:rsid w:val="009B221B"/>
    <w:rsid w:val="009B63C5"/>
    <w:rsid w:val="009B719F"/>
    <w:rsid w:val="009B7E30"/>
    <w:rsid w:val="009C7676"/>
    <w:rsid w:val="009D2308"/>
    <w:rsid w:val="009D44DD"/>
    <w:rsid w:val="009E01CF"/>
    <w:rsid w:val="009E0B3B"/>
    <w:rsid w:val="009E1412"/>
    <w:rsid w:val="009E3088"/>
    <w:rsid w:val="009F1E32"/>
    <w:rsid w:val="009F3214"/>
    <w:rsid w:val="009F53DF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8500F"/>
    <w:rsid w:val="00A96683"/>
    <w:rsid w:val="00AB05E7"/>
    <w:rsid w:val="00AB5587"/>
    <w:rsid w:val="00AE0719"/>
    <w:rsid w:val="00AE12F7"/>
    <w:rsid w:val="00AE1C3D"/>
    <w:rsid w:val="00AE3B13"/>
    <w:rsid w:val="00AF47B0"/>
    <w:rsid w:val="00B11800"/>
    <w:rsid w:val="00B14064"/>
    <w:rsid w:val="00B21C90"/>
    <w:rsid w:val="00B21CE2"/>
    <w:rsid w:val="00B227E0"/>
    <w:rsid w:val="00B22E5D"/>
    <w:rsid w:val="00B235A9"/>
    <w:rsid w:val="00B34783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B653F"/>
    <w:rsid w:val="00BC3128"/>
    <w:rsid w:val="00BC3750"/>
    <w:rsid w:val="00BC3985"/>
    <w:rsid w:val="00BC47C8"/>
    <w:rsid w:val="00BD1889"/>
    <w:rsid w:val="00BE2F1A"/>
    <w:rsid w:val="00BE5233"/>
    <w:rsid w:val="00BE6DD1"/>
    <w:rsid w:val="00BF2253"/>
    <w:rsid w:val="00BF23F7"/>
    <w:rsid w:val="00BF4B4C"/>
    <w:rsid w:val="00BF6423"/>
    <w:rsid w:val="00C0118B"/>
    <w:rsid w:val="00C05506"/>
    <w:rsid w:val="00C136BE"/>
    <w:rsid w:val="00C13736"/>
    <w:rsid w:val="00C14F1F"/>
    <w:rsid w:val="00C150D5"/>
    <w:rsid w:val="00C1582C"/>
    <w:rsid w:val="00C16B07"/>
    <w:rsid w:val="00C24B62"/>
    <w:rsid w:val="00C26CA0"/>
    <w:rsid w:val="00C27418"/>
    <w:rsid w:val="00C27D69"/>
    <w:rsid w:val="00C33020"/>
    <w:rsid w:val="00C4320E"/>
    <w:rsid w:val="00C43574"/>
    <w:rsid w:val="00C43D70"/>
    <w:rsid w:val="00C51858"/>
    <w:rsid w:val="00C66713"/>
    <w:rsid w:val="00C66972"/>
    <w:rsid w:val="00C73F5F"/>
    <w:rsid w:val="00C75357"/>
    <w:rsid w:val="00C76238"/>
    <w:rsid w:val="00C80234"/>
    <w:rsid w:val="00C805AE"/>
    <w:rsid w:val="00C8620C"/>
    <w:rsid w:val="00C942B4"/>
    <w:rsid w:val="00C96B58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CF539E"/>
    <w:rsid w:val="00D02969"/>
    <w:rsid w:val="00D07544"/>
    <w:rsid w:val="00D178C6"/>
    <w:rsid w:val="00D203EB"/>
    <w:rsid w:val="00D20C20"/>
    <w:rsid w:val="00D21666"/>
    <w:rsid w:val="00D22771"/>
    <w:rsid w:val="00D22E6A"/>
    <w:rsid w:val="00D23009"/>
    <w:rsid w:val="00D2429E"/>
    <w:rsid w:val="00D2511D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873D8"/>
    <w:rsid w:val="00D914D8"/>
    <w:rsid w:val="00D9593A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1FE0"/>
    <w:rsid w:val="00E027AC"/>
    <w:rsid w:val="00E035C5"/>
    <w:rsid w:val="00E1699E"/>
    <w:rsid w:val="00E16FB7"/>
    <w:rsid w:val="00E2211D"/>
    <w:rsid w:val="00E22B1B"/>
    <w:rsid w:val="00E309C9"/>
    <w:rsid w:val="00E36ADE"/>
    <w:rsid w:val="00E4041F"/>
    <w:rsid w:val="00E42E38"/>
    <w:rsid w:val="00E47E21"/>
    <w:rsid w:val="00E52128"/>
    <w:rsid w:val="00E62DA4"/>
    <w:rsid w:val="00E706A9"/>
    <w:rsid w:val="00E72995"/>
    <w:rsid w:val="00E859D5"/>
    <w:rsid w:val="00E85E31"/>
    <w:rsid w:val="00E870A0"/>
    <w:rsid w:val="00E90D02"/>
    <w:rsid w:val="00E90FE1"/>
    <w:rsid w:val="00E91C15"/>
    <w:rsid w:val="00E97F48"/>
    <w:rsid w:val="00EA459C"/>
    <w:rsid w:val="00EA6F7A"/>
    <w:rsid w:val="00EB36F5"/>
    <w:rsid w:val="00EC24EC"/>
    <w:rsid w:val="00EC4975"/>
    <w:rsid w:val="00EC73D2"/>
    <w:rsid w:val="00ED3CB4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70A9"/>
    <w:rsid w:val="00F23DEC"/>
    <w:rsid w:val="00F23E49"/>
    <w:rsid w:val="00F26D89"/>
    <w:rsid w:val="00F37D3C"/>
    <w:rsid w:val="00F416B1"/>
    <w:rsid w:val="00F43971"/>
    <w:rsid w:val="00F46B1B"/>
    <w:rsid w:val="00F47170"/>
    <w:rsid w:val="00F6085F"/>
    <w:rsid w:val="00F7034F"/>
    <w:rsid w:val="00F76A03"/>
    <w:rsid w:val="00F80C89"/>
    <w:rsid w:val="00F80F5C"/>
    <w:rsid w:val="00F83D93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B530-966F-46FF-86CA-2783EEC5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3</TotalTime>
  <Pages>3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Ada Jeannette Marroquin Juarez</cp:lastModifiedBy>
  <cp:revision>9</cp:revision>
  <cp:lastPrinted>2022-07-27T16:22:00Z</cp:lastPrinted>
  <dcterms:created xsi:type="dcterms:W3CDTF">2022-07-27T16:21:00Z</dcterms:created>
  <dcterms:modified xsi:type="dcterms:W3CDTF">2022-07-27T16:24:00Z</dcterms:modified>
</cp:coreProperties>
</file>