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FBCFE" w14:textId="77777777" w:rsidR="005C7EBD" w:rsidRPr="005C7EBD" w:rsidRDefault="005C7EBD" w:rsidP="005C7EBD">
      <w:pPr>
        <w:jc w:val="both"/>
        <w:rPr>
          <w:rFonts w:asciiTheme="majorHAnsi" w:hAnsiTheme="majorHAnsi" w:cstheme="majorHAnsi"/>
          <w:sz w:val="22"/>
          <w:szCs w:val="22"/>
          <w:lang w:val="es-MX"/>
        </w:rPr>
      </w:pPr>
      <w:bookmarkStart w:id="0" w:name="_GoBack"/>
      <w:bookmarkEnd w:id="0"/>
    </w:p>
    <w:p w14:paraId="7E621EA8" w14:textId="77777777" w:rsidR="005C7EBD" w:rsidRPr="005C7EBD" w:rsidRDefault="005C7EBD" w:rsidP="005C7EBD">
      <w:pPr>
        <w:tabs>
          <w:tab w:val="left" w:pos="2700"/>
          <w:tab w:val="center" w:pos="4419"/>
        </w:tabs>
        <w:ind w:left="2700" w:hanging="2700"/>
        <w:rPr>
          <w:rFonts w:asciiTheme="majorHAnsi" w:hAnsiTheme="majorHAnsi" w:cstheme="majorHAnsi"/>
          <w:sz w:val="22"/>
          <w:szCs w:val="22"/>
        </w:rPr>
      </w:pPr>
      <w:r w:rsidRPr="005C7EBD">
        <w:rPr>
          <w:rFonts w:asciiTheme="majorHAnsi" w:hAnsiTheme="majorHAnsi" w:cstheme="majorHAnsi"/>
          <w:b/>
          <w:sz w:val="22"/>
          <w:szCs w:val="22"/>
        </w:rPr>
        <w:tab/>
      </w:r>
    </w:p>
    <w:p w14:paraId="153F10B0" w14:textId="77777777" w:rsidR="005C7EBD" w:rsidRPr="005C7EBD" w:rsidRDefault="005C7EBD" w:rsidP="005C7EBD">
      <w:pPr>
        <w:jc w:val="center"/>
        <w:rPr>
          <w:rFonts w:asciiTheme="majorHAnsi" w:hAnsiTheme="majorHAnsi" w:cstheme="majorHAnsi"/>
          <w:b/>
          <w:sz w:val="22"/>
          <w:szCs w:val="22"/>
          <w:lang w:val="es-GT"/>
        </w:rPr>
      </w:pPr>
    </w:p>
    <w:p w14:paraId="2F6FFAF1" w14:textId="77777777" w:rsidR="005C7EBD" w:rsidRPr="005C7EBD" w:rsidRDefault="005C7EBD" w:rsidP="005C7EBD">
      <w:pPr>
        <w:jc w:val="center"/>
        <w:rPr>
          <w:rFonts w:asciiTheme="majorHAnsi" w:hAnsiTheme="majorHAnsi" w:cstheme="majorHAnsi"/>
          <w:b/>
          <w:sz w:val="22"/>
          <w:szCs w:val="22"/>
          <w:lang w:val="es-GT"/>
        </w:rPr>
      </w:pPr>
    </w:p>
    <w:p w14:paraId="75FAC292" w14:textId="77777777" w:rsidR="005C7EBD" w:rsidRPr="005C7EBD" w:rsidRDefault="005C7EBD" w:rsidP="005C7EBD">
      <w:pPr>
        <w:jc w:val="center"/>
        <w:rPr>
          <w:rFonts w:asciiTheme="majorHAnsi" w:hAnsiTheme="majorHAnsi" w:cstheme="majorHAnsi"/>
          <w:b/>
          <w:sz w:val="22"/>
          <w:szCs w:val="22"/>
          <w:lang w:val="es-GT"/>
        </w:rPr>
      </w:pPr>
    </w:p>
    <w:p w14:paraId="30073EC5" w14:textId="77777777" w:rsidR="005C7EBD" w:rsidRPr="005C7EBD" w:rsidRDefault="005C7EBD" w:rsidP="005C7EBD">
      <w:pPr>
        <w:jc w:val="center"/>
        <w:rPr>
          <w:rFonts w:asciiTheme="majorHAnsi" w:hAnsiTheme="majorHAnsi" w:cstheme="majorHAnsi"/>
          <w:b/>
          <w:sz w:val="22"/>
          <w:szCs w:val="22"/>
          <w:lang w:val="es-GT"/>
        </w:rPr>
      </w:pPr>
    </w:p>
    <w:p w14:paraId="20FFDC6B" w14:textId="77777777" w:rsidR="005C7EBD" w:rsidRPr="005C7EBD" w:rsidRDefault="005C7EBD" w:rsidP="005C7EBD">
      <w:pPr>
        <w:jc w:val="center"/>
        <w:rPr>
          <w:rFonts w:asciiTheme="majorHAnsi" w:hAnsiTheme="majorHAnsi" w:cstheme="majorHAnsi"/>
          <w:b/>
          <w:sz w:val="22"/>
          <w:szCs w:val="22"/>
          <w:lang w:val="es-GT"/>
        </w:rPr>
      </w:pPr>
    </w:p>
    <w:p w14:paraId="12B7A7FA" w14:textId="77777777" w:rsidR="005C7EBD" w:rsidRPr="005C7EBD" w:rsidRDefault="005C7EBD" w:rsidP="005C7EBD">
      <w:pPr>
        <w:jc w:val="center"/>
        <w:rPr>
          <w:rFonts w:asciiTheme="majorHAnsi" w:hAnsiTheme="majorHAnsi" w:cstheme="majorHAnsi"/>
          <w:b/>
          <w:sz w:val="22"/>
          <w:szCs w:val="22"/>
          <w:lang w:val="es-GT"/>
        </w:rPr>
      </w:pPr>
    </w:p>
    <w:p w14:paraId="2AB3D0A7" w14:textId="77777777" w:rsidR="005C7EBD" w:rsidRPr="005C7EBD" w:rsidRDefault="005C7EBD" w:rsidP="005C7EBD">
      <w:pPr>
        <w:jc w:val="center"/>
        <w:rPr>
          <w:rFonts w:asciiTheme="majorHAnsi" w:hAnsiTheme="majorHAnsi" w:cstheme="majorHAnsi"/>
          <w:b/>
          <w:sz w:val="22"/>
          <w:szCs w:val="22"/>
          <w:lang w:val="es-GT"/>
        </w:rPr>
      </w:pPr>
    </w:p>
    <w:p w14:paraId="4F585E4C" w14:textId="77777777" w:rsidR="005C7EBD" w:rsidRPr="005C7EBD" w:rsidRDefault="005C7EBD" w:rsidP="005C7EBD">
      <w:pPr>
        <w:jc w:val="center"/>
        <w:rPr>
          <w:rFonts w:asciiTheme="majorHAnsi" w:hAnsiTheme="majorHAnsi" w:cstheme="majorHAnsi"/>
          <w:b/>
          <w:sz w:val="22"/>
          <w:szCs w:val="22"/>
          <w:lang w:val="es-GT"/>
        </w:rPr>
      </w:pPr>
    </w:p>
    <w:p w14:paraId="0C267C54" w14:textId="77777777" w:rsidR="005C7EBD" w:rsidRPr="005C7EBD" w:rsidRDefault="005C7EBD" w:rsidP="005C7EBD">
      <w:pPr>
        <w:jc w:val="center"/>
        <w:rPr>
          <w:rFonts w:asciiTheme="majorHAnsi" w:hAnsiTheme="majorHAnsi" w:cstheme="majorHAnsi"/>
          <w:b/>
          <w:sz w:val="22"/>
          <w:szCs w:val="22"/>
          <w:lang w:val="es-GT"/>
        </w:rPr>
      </w:pPr>
    </w:p>
    <w:p w14:paraId="3B7C5983" w14:textId="77777777" w:rsidR="005C7EBD" w:rsidRPr="005C7EBD" w:rsidRDefault="005C7EBD" w:rsidP="005C7EBD">
      <w:pPr>
        <w:jc w:val="center"/>
        <w:rPr>
          <w:rFonts w:asciiTheme="majorHAnsi" w:hAnsiTheme="majorHAnsi" w:cstheme="majorHAnsi"/>
          <w:b/>
          <w:sz w:val="22"/>
          <w:szCs w:val="22"/>
          <w:lang w:val="es-GT"/>
        </w:rPr>
      </w:pPr>
    </w:p>
    <w:p w14:paraId="2C82DCDE" w14:textId="77777777" w:rsidR="005C7EBD" w:rsidRPr="005C7EBD" w:rsidRDefault="005C7EBD" w:rsidP="005C7EBD">
      <w:pPr>
        <w:jc w:val="center"/>
        <w:rPr>
          <w:rFonts w:asciiTheme="majorHAnsi" w:hAnsiTheme="majorHAnsi" w:cstheme="majorHAnsi"/>
          <w:b/>
          <w:sz w:val="22"/>
          <w:szCs w:val="22"/>
          <w:lang w:val="es-GT"/>
        </w:rPr>
      </w:pPr>
    </w:p>
    <w:p w14:paraId="3360082A" w14:textId="77777777" w:rsidR="005C7EBD" w:rsidRPr="005C7EBD" w:rsidRDefault="005C7EBD" w:rsidP="005C7EBD">
      <w:pPr>
        <w:jc w:val="center"/>
        <w:rPr>
          <w:rFonts w:asciiTheme="majorHAnsi" w:hAnsiTheme="majorHAnsi" w:cstheme="majorHAnsi"/>
          <w:b/>
          <w:sz w:val="22"/>
          <w:szCs w:val="22"/>
          <w:lang w:val="es-GT"/>
        </w:rPr>
      </w:pPr>
    </w:p>
    <w:p w14:paraId="06261318" w14:textId="77777777" w:rsidR="005C7EBD" w:rsidRPr="005C7EBD" w:rsidRDefault="005C7EBD" w:rsidP="005C7EBD">
      <w:pPr>
        <w:jc w:val="center"/>
        <w:rPr>
          <w:rFonts w:asciiTheme="majorHAnsi" w:hAnsiTheme="majorHAnsi" w:cstheme="majorHAnsi"/>
          <w:b/>
          <w:sz w:val="22"/>
          <w:szCs w:val="22"/>
          <w:lang w:val="es-GT"/>
        </w:rPr>
      </w:pPr>
    </w:p>
    <w:p w14:paraId="7DB73F68" w14:textId="77777777" w:rsidR="005C7EBD" w:rsidRPr="005C7EBD" w:rsidRDefault="005C7EBD" w:rsidP="005C7EBD">
      <w:pPr>
        <w:jc w:val="center"/>
        <w:rPr>
          <w:rFonts w:asciiTheme="majorHAnsi" w:hAnsiTheme="majorHAnsi" w:cstheme="majorHAnsi"/>
          <w:b/>
          <w:sz w:val="22"/>
          <w:szCs w:val="22"/>
          <w:lang w:val="es-GT"/>
        </w:rPr>
      </w:pPr>
    </w:p>
    <w:p w14:paraId="7A0861C1" w14:textId="77777777" w:rsidR="005C7EBD" w:rsidRPr="005C7EBD" w:rsidRDefault="005C7EBD" w:rsidP="005C7EBD">
      <w:pPr>
        <w:jc w:val="center"/>
        <w:rPr>
          <w:rFonts w:asciiTheme="majorHAnsi" w:hAnsiTheme="majorHAnsi" w:cstheme="majorHAnsi"/>
          <w:b/>
          <w:sz w:val="22"/>
          <w:szCs w:val="22"/>
          <w:lang w:val="es-GT"/>
        </w:rPr>
      </w:pPr>
    </w:p>
    <w:p w14:paraId="2E9B1563" w14:textId="77777777" w:rsidR="005C7EBD" w:rsidRPr="005C7EBD" w:rsidRDefault="005C7EBD" w:rsidP="005C7EBD">
      <w:pPr>
        <w:jc w:val="center"/>
        <w:rPr>
          <w:rFonts w:asciiTheme="majorHAnsi" w:hAnsiTheme="majorHAnsi" w:cstheme="majorHAnsi"/>
          <w:b/>
          <w:sz w:val="22"/>
          <w:szCs w:val="22"/>
          <w:lang w:val="es-GT"/>
        </w:rPr>
      </w:pPr>
    </w:p>
    <w:p w14:paraId="0E903C94" w14:textId="47FB8787" w:rsidR="005C7EBD" w:rsidRPr="005C7EBD" w:rsidRDefault="006401DB" w:rsidP="005C7EBD">
      <w:pPr>
        <w:jc w:val="center"/>
        <w:rPr>
          <w:rFonts w:asciiTheme="majorHAnsi" w:hAnsiTheme="majorHAnsi" w:cstheme="majorHAnsi"/>
          <w:b/>
          <w:sz w:val="22"/>
          <w:szCs w:val="22"/>
          <w:lang w:val="es-GT"/>
        </w:rPr>
      </w:pPr>
      <w:r>
        <w:rPr>
          <w:rFonts w:asciiTheme="majorHAnsi" w:hAnsiTheme="majorHAnsi" w:cstheme="majorHAnsi"/>
          <w:b/>
          <w:sz w:val="22"/>
          <w:szCs w:val="22"/>
          <w:lang w:val="es-GT"/>
        </w:rPr>
        <w:t xml:space="preserve">TERCER </w:t>
      </w:r>
      <w:r w:rsidR="005C7EBD" w:rsidRPr="005C7EBD">
        <w:rPr>
          <w:rFonts w:asciiTheme="majorHAnsi" w:hAnsiTheme="majorHAnsi" w:cstheme="majorHAnsi"/>
          <w:b/>
          <w:sz w:val="22"/>
          <w:szCs w:val="22"/>
          <w:lang w:val="es-GT"/>
        </w:rPr>
        <w:t>INFORME CUATRIMESTRAL 2022</w:t>
      </w:r>
    </w:p>
    <w:p w14:paraId="4E70A36D" w14:textId="77777777" w:rsidR="005C7EBD" w:rsidRPr="005C7EBD" w:rsidRDefault="005C7EBD" w:rsidP="005C7EBD">
      <w:pPr>
        <w:jc w:val="center"/>
        <w:rPr>
          <w:rFonts w:asciiTheme="majorHAnsi" w:hAnsiTheme="majorHAnsi" w:cstheme="majorHAnsi"/>
          <w:b/>
          <w:sz w:val="22"/>
          <w:szCs w:val="22"/>
        </w:rPr>
      </w:pPr>
      <w:r w:rsidRPr="005C7EBD">
        <w:rPr>
          <w:rFonts w:asciiTheme="majorHAnsi" w:hAnsiTheme="majorHAnsi" w:cstheme="majorHAnsi"/>
          <w:b/>
          <w:sz w:val="22"/>
          <w:szCs w:val="22"/>
        </w:rPr>
        <w:t>INDICADORES DE LA POLÍTICA GENERAL DE GOBIERNO 2020-2024</w:t>
      </w:r>
    </w:p>
    <w:p w14:paraId="523A6623" w14:textId="77777777" w:rsidR="005C7EBD" w:rsidRPr="005C7EBD" w:rsidRDefault="005C7EBD" w:rsidP="005C7EBD">
      <w:pPr>
        <w:jc w:val="center"/>
        <w:rPr>
          <w:rFonts w:asciiTheme="majorHAnsi" w:hAnsiTheme="majorHAnsi" w:cstheme="majorHAnsi"/>
          <w:b/>
          <w:sz w:val="22"/>
          <w:szCs w:val="22"/>
        </w:rPr>
      </w:pPr>
    </w:p>
    <w:p w14:paraId="256D28E1" w14:textId="77777777" w:rsidR="005C7EBD" w:rsidRPr="005C7EBD" w:rsidRDefault="005C7EBD" w:rsidP="005C7EBD">
      <w:pPr>
        <w:rPr>
          <w:rFonts w:asciiTheme="majorHAnsi" w:hAnsiTheme="majorHAnsi" w:cstheme="majorHAnsi"/>
          <w:sz w:val="22"/>
          <w:szCs w:val="22"/>
        </w:rPr>
      </w:pPr>
    </w:p>
    <w:p w14:paraId="67C6033F" w14:textId="77777777" w:rsidR="005C7EBD" w:rsidRPr="005C7EBD" w:rsidRDefault="005C7EBD" w:rsidP="005C7EBD">
      <w:pPr>
        <w:rPr>
          <w:rFonts w:asciiTheme="majorHAnsi" w:hAnsiTheme="majorHAnsi" w:cstheme="majorHAnsi"/>
          <w:sz w:val="22"/>
          <w:szCs w:val="22"/>
        </w:rPr>
      </w:pPr>
    </w:p>
    <w:p w14:paraId="32777AFA" w14:textId="77777777" w:rsidR="005C7EBD" w:rsidRPr="005C7EBD" w:rsidRDefault="005C7EBD" w:rsidP="005C7EBD">
      <w:pPr>
        <w:rPr>
          <w:rFonts w:asciiTheme="majorHAnsi" w:hAnsiTheme="majorHAnsi" w:cstheme="majorHAnsi"/>
          <w:sz w:val="22"/>
          <w:szCs w:val="22"/>
        </w:rPr>
      </w:pPr>
    </w:p>
    <w:p w14:paraId="2CB5A2A9" w14:textId="77777777" w:rsidR="005C7EBD" w:rsidRPr="005C7EBD" w:rsidRDefault="005C7EBD" w:rsidP="005C7EBD">
      <w:pPr>
        <w:rPr>
          <w:rFonts w:asciiTheme="majorHAnsi" w:hAnsiTheme="majorHAnsi" w:cstheme="majorHAnsi"/>
          <w:sz w:val="22"/>
          <w:szCs w:val="22"/>
        </w:rPr>
      </w:pPr>
    </w:p>
    <w:p w14:paraId="4F2DFF11" w14:textId="77777777" w:rsidR="005C7EBD" w:rsidRPr="005C7EBD" w:rsidRDefault="005C7EBD" w:rsidP="005C7EBD">
      <w:pPr>
        <w:rPr>
          <w:rFonts w:asciiTheme="majorHAnsi" w:hAnsiTheme="majorHAnsi" w:cstheme="majorHAnsi"/>
          <w:sz w:val="22"/>
          <w:szCs w:val="22"/>
        </w:rPr>
      </w:pPr>
    </w:p>
    <w:p w14:paraId="329F0891" w14:textId="77777777" w:rsidR="005C7EBD" w:rsidRPr="005C7EBD" w:rsidRDefault="005C7EBD" w:rsidP="005C7EBD">
      <w:pPr>
        <w:rPr>
          <w:rFonts w:asciiTheme="majorHAnsi" w:hAnsiTheme="majorHAnsi" w:cstheme="majorHAnsi"/>
          <w:sz w:val="22"/>
          <w:szCs w:val="22"/>
        </w:rPr>
      </w:pPr>
    </w:p>
    <w:p w14:paraId="1A1870E7" w14:textId="77777777" w:rsidR="005C7EBD" w:rsidRPr="005C7EBD" w:rsidRDefault="005C7EBD" w:rsidP="005C7EBD">
      <w:pPr>
        <w:rPr>
          <w:rFonts w:asciiTheme="majorHAnsi" w:hAnsiTheme="majorHAnsi" w:cstheme="majorHAnsi"/>
          <w:sz w:val="22"/>
          <w:szCs w:val="22"/>
        </w:rPr>
      </w:pPr>
    </w:p>
    <w:p w14:paraId="36B019AC" w14:textId="77777777" w:rsidR="005C7EBD" w:rsidRPr="005C7EBD" w:rsidRDefault="005C7EBD" w:rsidP="005C7EBD">
      <w:pPr>
        <w:rPr>
          <w:rFonts w:asciiTheme="majorHAnsi" w:hAnsiTheme="majorHAnsi" w:cstheme="majorHAnsi"/>
          <w:sz w:val="22"/>
          <w:szCs w:val="22"/>
        </w:rPr>
      </w:pPr>
    </w:p>
    <w:p w14:paraId="1CD5A777" w14:textId="77777777" w:rsidR="005C7EBD" w:rsidRPr="005C7EBD" w:rsidRDefault="005C7EBD" w:rsidP="005C7EBD">
      <w:pPr>
        <w:rPr>
          <w:rFonts w:asciiTheme="majorHAnsi" w:hAnsiTheme="majorHAnsi" w:cstheme="majorHAnsi"/>
          <w:sz w:val="22"/>
          <w:szCs w:val="22"/>
        </w:rPr>
      </w:pPr>
    </w:p>
    <w:p w14:paraId="4B863AC0" w14:textId="77777777" w:rsidR="005C7EBD" w:rsidRPr="005C7EBD" w:rsidRDefault="005C7EBD" w:rsidP="005C7EBD">
      <w:pPr>
        <w:rPr>
          <w:rFonts w:asciiTheme="majorHAnsi" w:hAnsiTheme="majorHAnsi" w:cstheme="majorHAnsi"/>
          <w:sz w:val="22"/>
          <w:szCs w:val="22"/>
        </w:rPr>
      </w:pPr>
    </w:p>
    <w:p w14:paraId="7788AC44" w14:textId="77777777" w:rsidR="005C7EBD" w:rsidRPr="005C7EBD" w:rsidRDefault="005C7EBD" w:rsidP="005C7EBD">
      <w:pPr>
        <w:rPr>
          <w:rFonts w:asciiTheme="majorHAnsi" w:hAnsiTheme="majorHAnsi" w:cstheme="majorHAnsi"/>
          <w:sz w:val="22"/>
          <w:szCs w:val="22"/>
        </w:rPr>
      </w:pPr>
    </w:p>
    <w:p w14:paraId="5145A8B5" w14:textId="77777777" w:rsidR="005C7EBD" w:rsidRPr="005C7EBD" w:rsidRDefault="005C7EBD" w:rsidP="005C7EBD">
      <w:pPr>
        <w:rPr>
          <w:rFonts w:asciiTheme="majorHAnsi" w:hAnsiTheme="majorHAnsi" w:cstheme="majorHAnsi"/>
          <w:sz w:val="22"/>
          <w:szCs w:val="22"/>
        </w:rPr>
      </w:pPr>
    </w:p>
    <w:p w14:paraId="78661944" w14:textId="77777777" w:rsidR="005C7EBD" w:rsidRPr="005C7EBD" w:rsidRDefault="005C7EBD" w:rsidP="005C7EBD">
      <w:pPr>
        <w:rPr>
          <w:rFonts w:asciiTheme="majorHAnsi" w:hAnsiTheme="majorHAnsi" w:cstheme="majorHAnsi"/>
          <w:sz w:val="22"/>
          <w:szCs w:val="22"/>
        </w:rPr>
      </w:pPr>
    </w:p>
    <w:p w14:paraId="7FE44D05" w14:textId="77777777" w:rsidR="005C7EBD" w:rsidRPr="005C7EBD" w:rsidRDefault="005C7EBD" w:rsidP="005C7EBD">
      <w:pPr>
        <w:rPr>
          <w:rFonts w:asciiTheme="majorHAnsi" w:hAnsiTheme="majorHAnsi" w:cstheme="majorHAnsi"/>
          <w:sz w:val="22"/>
          <w:szCs w:val="22"/>
        </w:rPr>
      </w:pPr>
    </w:p>
    <w:p w14:paraId="746BBAD0" w14:textId="77777777" w:rsidR="005C7EBD" w:rsidRPr="005C7EBD" w:rsidRDefault="005C7EBD" w:rsidP="005C7EBD">
      <w:pPr>
        <w:rPr>
          <w:rFonts w:asciiTheme="majorHAnsi" w:hAnsiTheme="majorHAnsi" w:cstheme="majorHAnsi"/>
          <w:sz w:val="22"/>
          <w:szCs w:val="22"/>
        </w:rPr>
      </w:pPr>
    </w:p>
    <w:p w14:paraId="63EAC375" w14:textId="77777777" w:rsidR="005C7EBD" w:rsidRPr="005C7EBD" w:rsidRDefault="005C7EBD" w:rsidP="005C7EBD">
      <w:pPr>
        <w:rPr>
          <w:rFonts w:asciiTheme="majorHAnsi" w:hAnsiTheme="majorHAnsi" w:cstheme="majorHAnsi"/>
          <w:sz w:val="22"/>
          <w:szCs w:val="22"/>
        </w:rPr>
      </w:pPr>
    </w:p>
    <w:p w14:paraId="4059501F" w14:textId="77777777" w:rsidR="005C7EBD" w:rsidRPr="005C7EBD" w:rsidRDefault="005C7EBD" w:rsidP="005C7EBD">
      <w:pPr>
        <w:rPr>
          <w:rFonts w:asciiTheme="majorHAnsi" w:hAnsiTheme="majorHAnsi" w:cstheme="majorHAnsi"/>
          <w:sz w:val="22"/>
          <w:szCs w:val="22"/>
        </w:rPr>
      </w:pPr>
    </w:p>
    <w:p w14:paraId="3D638F53" w14:textId="77777777" w:rsidR="005C7EBD" w:rsidRPr="005C7EBD" w:rsidRDefault="005C7EBD" w:rsidP="005C7EBD">
      <w:pPr>
        <w:rPr>
          <w:rFonts w:asciiTheme="majorHAnsi" w:hAnsiTheme="majorHAnsi" w:cstheme="majorHAnsi"/>
          <w:sz w:val="22"/>
          <w:szCs w:val="22"/>
        </w:rPr>
      </w:pPr>
    </w:p>
    <w:p w14:paraId="2F7E49BB" w14:textId="77777777" w:rsidR="005C7EBD" w:rsidRPr="005C7EBD" w:rsidRDefault="005C7EBD" w:rsidP="005C7EBD">
      <w:pPr>
        <w:rPr>
          <w:rFonts w:asciiTheme="majorHAnsi" w:hAnsiTheme="majorHAnsi" w:cstheme="majorHAnsi"/>
          <w:sz w:val="22"/>
          <w:szCs w:val="22"/>
        </w:rPr>
      </w:pPr>
    </w:p>
    <w:p w14:paraId="1ADF57F6" w14:textId="77777777" w:rsidR="005C7EBD" w:rsidRPr="005C7EBD" w:rsidRDefault="005C7EBD" w:rsidP="005C7EBD">
      <w:pPr>
        <w:rPr>
          <w:rFonts w:asciiTheme="majorHAnsi" w:hAnsiTheme="majorHAnsi" w:cstheme="majorHAnsi"/>
          <w:sz w:val="22"/>
          <w:szCs w:val="22"/>
        </w:rPr>
      </w:pPr>
    </w:p>
    <w:p w14:paraId="053E47B8" w14:textId="77777777" w:rsidR="005C7EBD" w:rsidRPr="005C7EBD" w:rsidRDefault="005C7EBD" w:rsidP="005C7EBD">
      <w:pPr>
        <w:rPr>
          <w:rFonts w:asciiTheme="majorHAnsi" w:hAnsiTheme="majorHAnsi" w:cstheme="majorHAnsi"/>
          <w:sz w:val="22"/>
          <w:szCs w:val="22"/>
        </w:rPr>
      </w:pPr>
    </w:p>
    <w:p w14:paraId="41521F08" w14:textId="77777777" w:rsidR="005C7EBD" w:rsidRPr="005C7EBD" w:rsidRDefault="005C7EBD" w:rsidP="005C7EBD">
      <w:pPr>
        <w:rPr>
          <w:rFonts w:asciiTheme="majorHAnsi" w:hAnsiTheme="majorHAnsi" w:cstheme="majorHAnsi"/>
          <w:sz w:val="22"/>
          <w:szCs w:val="22"/>
        </w:rPr>
      </w:pPr>
    </w:p>
    <w:p w14:paraId="067D50CC" w14:textId="77777777" w:rsidR="005C7EBD" w:rsidRPr="005C7EBD" w:rsidRDefault="005C7EBD" w:rsidP="005C7EBD">
      <w:pPr>
        <w:rPr>
          <w:rFonts w:asciiTheme="majorHAnsi" w:hAnsiTheme="majorHAnsi" w:cstheme="majorHAnsi"/>
          <w:sz w:val="22"/>
          <w:szCs w:val="22"/>
        </w:rPr>
      </w:pPr>
    </w:p>
    <w:p w14:paraId="10916240" w14:textId="77777777" w:rsidR="005C7EBD" w:rsidRPr="005C7EBD" w:rsidRDefault="005C7EBD" w:rsidP="005C7EBD">
      <w:pPr>
        <w:rPr>
          <w:rFonts w:asciiTheme="majorHAnsi" w:hAnsiTheme="majorHAnsi" w:cstheme="majorHAnsi"/>
          <w:sz w:val="22"/>
          <w:szCs w:val="22"/>
        </w:rPr>
      </w:pPr>
    </w:p>
    <w:p w14:paraId="3472F74F" w14:textId="77777777" w:rsidR="005C7EBD" w:rsidRPr="005C7EBD" w:rsidRDefault="005C7EBD" w:rsidP="005C7EBD">
      <w:pPr>
        <w:rPr>
          <w:rFonts w:asciiTheme="majorHAnsi" w:hAnsiTheme="majorHAnsi" w:cstheme="majorHAnsi"/>
          <w:sz w:val="22"/>
          <w:szCs w:val="22"/>
        </w:rPr>
      </w:pPr>
    </w:p>
    <w:p w14:paraId="3986652C" w14:textId="77777777" w:rsidR="005C7EBD" w:rsidRPr="005C7EBD" w:rsidRDefault="005C7EBD" w:rsidP="005C7EBD">
      <w:pPr>
        <w:spacing w:line="360" w:lineRule="auto"/>
        <w:rPr>
          <w:rFonts w:asciiTheme="majorHAnsi" w:hAnsiTheme="majorHAnsi" w:cstheme="majorHAnsi"/>
          <w:b/>
          <w:sz w:val="22"/>
          <w:szCs w:val="22"/>
          <w:u w:val="single"/>
        </w:rPr>
      </w:pPr>
      <w:r w:rsidRPr="005C7EBD">
        <w:rPr>
          <w:rFonts w:asciiTheme="majorHAnsi" w:hAnsiTheme="majorHAnsi" w:cstheme="majorHAnsi"/>
          <w:b/>
          <w:sz w:val="22"/>
          <w:szCs w:val="22"/>
          <w:u w:val="single"/>
        </w:rPr>
        <w:t>Base legal</w:t>
      </w:r>
    </w:p>
    <w:p w14:paraId="73E409CB" w14:textId="67DC8D78" w:rsidR="005C7EBD" w:rsidRPr="00F91669" w:rsidRDefault="005C7EBD" w:rsidP="008F0251">
      <w:pPr>
        <w:spacing w:line="360" w:lineRule="auto"/>
        <w:jc w:val="both"/>
        <w:rPr>
          <w:rFonts w:asciiTheme="majorHAnsi" w:hAnsiTheme="majorHAnsi" w:cstheme="majorHAnsi"/>
          <w:sz w:val="22"/>
          <w:szCs w:val="22"/>
        </w:rPr>
      </w:pPr>
      <w:r w:rsidRPr="005C7EBD">
        <w:rPr>
          <w:rFonts w:asciiTheme="majorHAnsi" w:hAnsiTheme="majorHAnsi" w:cstheme="majorHAnsi"/>
          <w:sz w:val="22"/>
          <w:szCs w:val="22"/>
        </w:rPr>
        <w:t>Decreto N</w:t>
      </w:r>
      <w:r w:rsidR="00DE5018">
        <w:rPr>
          <w:rFonts w:asciiTheme="majorHAnsi" w:hAnsiTheme="majorHAnsi" w:cstheme="majorHAnsi"/>
          <w:sz w:val="22"/>
          <w:szCs w:val="22"/>
        </w:rPr>
        <w:t xml:space="preserve">úmero </w:t>
      </w:r>
      <w:r w:rsidR="000A1485">
        <w:rPr>
          <w:rFonts w:asciiTheme="majorHAnsi" w:hAnsiTheme="majorHAnsi" w:cstheme="majorHAnsi"/>
          <w:sz w:val="22"/>
          <w:szCs w:val="22"/>
        </w:rPr>
        <w:t xml:space="preserve">16-2021 </w:t>
      </w:r>
      <w:r w:rsidRPr="005C7EBD">
        <w:rPr>
          <w:rFonts w:asciiTheme="majorHAnsi" w:hAnsiTheme="majorHAnsi" w:cstheme="majorHAnsi"/>
          <w:sz w:val="22"/>
          <w:szCs w:val="22"/>
        </w:rPr>
        <w:t>“</w:t>
      </w:r>
      <w:r w:rsidRPr="005C7EBD">
        <w:rPr>
          <w:rFonts w:asciiTheme="majorHAnsi" w:hAnsiTheme="majorHAnsi" w:cstheme="majorHAnsi"/>
          <w:i/>
          <w:sz w:val="22"/>
          <w:szCs w:val="22"/>
        </w:rPr>
        <w:t xml:space="preserve">Ley del Presupuesto General de Ingresos y Egresos del Estado para el Ejercicio Fiscal Dos Mil </w:t>
      </w:r>
      <w:r w:rsidR="00F91669" w:rsidRPr="00F91669">
        <w:rPr>
          <w:rFonts w:asciiTheme="majorHAnsi" w:hAnsiTheme="majorHAnsi" w:cstheme="majorHAnsi"/>
          <w:i/>
          <w:sz w:val="22"/>
          <w:szCs w:val="22"/>
        </w:rPr>
        <w:t>Veintidós</w:t>
      </w:r>
      <w:r w:rsidRPr="00F91669">
        <w:rPr>
          <w:rFonts w:asciiTheme="majorHAnsi" w:hAnsiTheme="majorHAnsi" w:cstheme="majorHAnsi"/>
          <w:i/>
          <w:sz w:val="22"/>
          <w:szCs w:val="22"/>
        </w:rPr>
        <w:t>”</w:t>
      </w:r>
      <w:r w:rsidRPr="00F91669">
        <w:rPr>
          <w:rFonts w:asciiTheme="majorHAnsi" w:hAnsiTheme="majorHAnsi" w:cstheme="majorHAnsi"/>
          <w:sz w:val="22"/>
          <w:szCs w:val="22"/>
        </w:rPr>
        <w:t>.</w:t>
      </w:r>
    </w:p>
    <w:p w14:paraId="0E58B586" w14:textId="77777777" w:rsidR="005C7EBD" w:rsidRPr="005C7EBD" w:rsidRDefault="005C7EBD" w:rsidP="008F0251">
      <w:pPr>
        <w:spacing w:line="360" w:lineRule="auto"/>
        <w:jc w:val="both"/>
        <w:rPr>
          <w:rFonts w:asciiTheme="majorHAnsi" w:hAnsiTheme="majorHAnsi" w:cstheme="majorHAnsi"/>
          <w:sz w:val="22"/>
          <w:szCs w:val="22"/>
          <w:lang w:val="es-GT"/>
        </w:rPr>
      </w:pPr>
    </w:p>
    <w:p w14:paraId="7C38840F" w14:textId="500C5BAA" w:rsidR="005C7EBD" w:rsidRPr="005C7EBD" w:rsidRDefault="005C7EBD" w:rsidP="005C7EBD">
      <w:pPr>
        <w:spacing w:line="360" w:lineRule="auto"/>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 xml:space="preserve">En referencia al Decreto Número </w:t>
      </w:r>
      <w:r w:rsidR="00DC750D">
        <w:rPr>
          <w:rFonts w:asciiTheme="majorHAnsi" w:hAnsiTheme="majorHAnsi" w:cstheme="majorHAnsi"/>
          <w:sz w:val="22"/>
          <w:szCs w:val="22"/>
          <w:lang w:val="es-GT"/>
        </w:rPr>
        <w:t>16-</w:t>
      </w:r>
      <w:r w:rsidR="00641DE2">
        <w:rPr>
          <w:rFonts w:asciiTheme="majorHAnsi" w:hAnsiTheme="majorHAnsi" w:cstheme="majorHAnsi"/>
          <w:sz w:val="22"/>
          <w:szCs w:val="22"/>
          <w:lang w:val="es-GT"/>
        </w:rPr>
        <w:t>2021</w:t>
      </w:r>
      <w:r w:rsidRPr="005C7EBD">
        <w:rPr>
          <w:rFonts w:asciiTheme="majorHAnsi" w:hAnsiTheme="majorHAnsi" w:cstheme="majorHAnsi"/>
          <w:color w:val="FF0000"/>
          <w:sz w:val="22"/>
          <w:szCs w:val="22"/>
          <w:lang w:val="es-GT"/>
        </w:rPr>
        <w:t xml:space="preserve"> </w:t>
      </w:r>
      <w:r w:rsidRPr="005C7EBD">
        <w:rPr>
          <w:rFonts w:asciiTheme="majorHAnsi" w:hAnsiTheme="majorHAnsi" w:cstheme="majorHAnsi"/>
          <w:sz w:val="22"/>
          <w:szCs w:val="22"/>
          <w:lang w:val="es-GT"/>
        </w:rPr>
        <w:t xml:space="preserve">del Congreso de la República de Guatemala, Ley de Presupuesto General de Ingresos y Egresos del Estado para el </w:t>
      </w:r>
      <w:r w:rsidRPr="00641DE2">
        <w:rPr>
          <w:rFonts w:asciiTheme="majorHAnsi" w:hAnsiTheme="majorHAnsi" w:cstheme="majorHAnsi"/>
          <w:sz w:val="22"/>
          <w:szCs w:val="22"/>
          <w:lang w:val="es-GT"/>
        </w:rPr>
        <w:t xml:space="preserve">Ejercicio Fiscal </w:t>
      </w:r>
      <w:r w:rsidRPr="00860D8A">
        <w:rPr>
          <w:rFonts w:asciiTheme="majorHAnsi" w:hAnsiTheme="majorHAnsi" w:cstheme="majorHAnsi"/>
          <w:sz w:val="22"/>
          <w:szCs w:val="22"/>
          <w:lang w:val="es-GT"/>
        </w:rPr>
        <w:t xml:space="preserve">Dos Mil </w:t>
      </w:r>
      <w:r w:rsidR="00641DE2" w:rsidRPr="00860D8A">
        <w:rPr>
          <w:rFonts w:asciiTheme="majorHAnsi" w:hAnsiTheme="majorHAnsi" w:cstheme="majorHAnsi"/>
          <w:sz w:val="22"/>
          <w:szCs w:val="22"/>
          <w:lang w:val="es-GT"/>
        </w:rPr>
        <w:t>Veintidós</w:t>
      </w:r>
      <w:r w:rsidRPr="005C7EBD">
        <w:rPr>
          <w:rFonts w:asciiTheme="majorHAnsi" w:hAnsiTheme="majorHAnsi" w:cstheme="majorHAnsi"/>
          <w:sz w:val="22"/>
          <w:szCs w:val="22"/>
          <w:lang w:val="es-GT"/>
        </w:rPr>
        <w:t xml:space="preserve">, en el </w:t>
      </w:r>
      <w:r w:rsidRPr="00077800">
        <w:rPr>
          <w:rFonts w:asciiTheme="majorHAnsi" w:hAnsiTheme="majorHAnsi" w:cstheme="majorHAnsi"/>
          <w:sz w:val="22"/>
          <w:szCs w:val="22"/>
          <w:lang w:val="es-GT"/>
        </w:rPr>
        <w:t>artículo 1</w:t>
      </w:r>
      <w:r w:rsidR="00077800" w:rsidRPr="00077800">
        <w:rPr>
          <w:rFonts w:asciiTheme="majorHAnsi" w:hAnsiTheme="majorHAnsi" w:cstheme="majorHAnsi"/>
          <w:sz w:val="22"/>
          <w:szCs w:val="22"/>
          <w:lang w:val="es-GT"/>
        </w:rPr>
        <w:t>5</w:t>
      </w:r>
      <w:r w:rsidRPr="00077800">
        <w:rPr>
          <w:rFonts w:asciiTheme="majorHAnsi" w:hAnsiTheme="majorHAnsi" w:cstheme="majorHAnsi"/>
          <w:sz w:val="22"/>
          <w:szCs w:val="22"/>
          <w:lang w:val="es-GT"/>
        </w:rPr>
        <w:t xml:space="preserve"> se indica </w:t>
      </w:r>
      <w:r w:rsidRPr="005C7EBD">
        <w:rPr>
          <w:rFonts w:asciiTheme="majorHAnsi" w:hAnsiTheme="majorHAnsi" w:cstheme="majorHAnsi"/>
          <w:sz w:val="22"/>
          <w:szCs w:val="22"/>
          <w:lang w:val="es-GT"/>
        </w:rPr>
        <w:t xml:space="preserve">que las autoridades </w:t>
      </w:r>
      <w:r w:rsidR="00DC3D31">
        <w:rPr>
          <w:rFonts w:asciiTheme="majorHAnsi" w:hAnsiTheme="majorHAnsi" w:cstheme="majorHAnsi"/>
          <w:sz w:val="22"/>
          <w:szCs w:val="22"/>
          <w:lang w:val="es-GT"/>
        </w:rPr>
        <w:t xml:space="preserve">de las instituciones </w:t>
      </w:r>
      <w:r w:rsidRPr="005C7EBD">
        <w:rPr>
          <w:rFonts w:asciiTheme="majorHAnsi" w:hAnsiTheme="majorHAnsi" w:cstheme="majorHAnsi"/>
          <w:sz w:val="22"/>
          <w:szCs w:val="22"/>
          <w:lang w:val="es-GT"/>
        </w:rPr>
        <w:t>son responsables de realizar la medición de indicadores</w:t>
      </w:r>
      <w:r w:rsidR="00FF0446">
        <w:rPr>
          <w:rFonts w:asciiTheme="majorHAnsi" w:hAnsiTheme="majorHAnsi" w:cstheme="majorHAnsi"/>
          <w:sz w:val="22"/>
          <w:szCs w:val="22"/>
          <w:lang w:val="es-GT"/>
        </w:rPr>
        <w:t xml:space="preserve">; y deberán informar de los resultados en </w:t>
      </w:r>
      <w:r w:rsidR="00573B8B">
        <w:rPr>
          <w:rFonts w:asciiTheme="majorHAnsi" w:hAnsiTheme="majorHAnsi" w:cstheme="majorHAnsi"/>
          <w:sz w:val="22"/>
          <w:szCs w:val="22"/>
          <w:lang w:val="es-GT"/>
        </w:rPr>
        <w:t xml:space="preserve">forma cuatrimestral a la Secretaría de Planificación </w:t>
      </w:r>
      <w:r w:rsidR="008F6508">
        <w:rPr>
          <w:rFonts w:asciiTheme="majorHAnsi" w:hAnsiTheme="majorHAnsi" w:cstheme="majorHAnsi"/>
          <w:sz w:val="22"/>
          <w:szCs w:val="22"/>
          <w:lang w:val="es-GT"/>
        </w:rPr>
        <w:t xml:space="preserve">y Programación de la Presidencia (Segeplan) y al Ministerio de </w:t>
      </w:r>
      <w:r w:rsidR="00BF7E90">
        <w:rPr>
          <w:rFonts w:asciiTheme="majorHAnsi" w:hAnsiTheme="majorHAnsi" w:cstheme="majorHAnsi"/>
          <w:sz w:val="22"/>
          <w:szCs w:val="22"/>
          <w:lang w:val="es-GT"/>
        </w:rPr>
        <w:t>Finanzas Públicas y publicarlo en su portal electrónico.</w:t>
      </w:r>
    </w:p>
    <w:p w14:paraId="1F2F1E00" w14:textId="77777777" w:rsidR="005C7EBD" w:rsidRPr="005C7EBD" w:rsidRDefault="005C7EBD" w:rsidP="005C7EBD">
      <w:pPr>
        <w:spacing w:line="360" w:lineRule="auto"/>
        <w:rPr>
          <w:rFonts w:asciiTheme="majorHAnsi" w:hAnsiTheme="majorHAnsi" w:cstheme="majorHAnsi"/>
          <w:sz w:val="22"/>
          <w:szCs w:val="22"/>
        </w:rPr>
      </w:pPr>
      <w:bookmarkStart w:id="1" w:name="_Hlk51935738"/>
    </w:p>
    <w:p w14:paraId="6D9EA4DD" w14:textId="77777777" w:rsidR="005C7EBD" w:rsidRPr="005C7EBD" w:rsidRDefault="005C7EBD" w:rsidP="005C7EBD">
      <w:pPr>
        <w:spacing w:line="360" w:lineRule="auto"/>
        <w:rPr>
          <w:rFonts w:asciiTheme="majorHAnsi" w:hAnsiTheme="majorHAnsi" w:cstheme="majorHAnsi"/>
          <w:sz w:val="22"/>
          <w:szCs w:val="22"/>
        </w:rPr>
      </w:pPr>
      <w:r w:rsidRPr="005C7EBD">
        <w:rPr>
          <w:rFonts w:asciiTheme="majorHAnsi" w:hAnsiTheme="majorHAnsi" w:cstheme="majorHAnsi"/>
          <w:b/>
          <w:sz w:val="22"/>
          <w:szCs w:val="22"/>
          <w:u w:val="single"/>
        </w:rPr>
        <w:t>Política General de Gobierno 2020-2024.</w:t>
      </w:r>
    </w:p>
    <w:bookmarkEnd w:id="1"/>
    <w:p w14:paraId="7A279B55" w14:textId="77777777" w:rsidR="005C7EBD" w:rsidRPr="005C7EBD" w:rsidRDefault="005C7EBD" w:rsidP="005C7EBD">
      <w:pPr>
        <w:spacing w:line="360" w:lineRule="auto"/>
        <w:jc w:val="both"/>
        <w:rPr>
          <w:rFonts w:asciiTheme="majorHAnsi" w:hAnsiTheme="majorHAnsi" w:cstheme="majorHAnsi"/>
          <w:sz w:val="22"/>
          <w:szCs w:val="22"/>
        </w:rPr>
      </w:pPr>
      <w:r w:rsidRPr="005C7EBD">
        <w:rPr>
          <w:rFonts w:asciiTheme="majorHAnsi" w:hAnsiTheme="majorHAnsi" w:cstheme="majorHAnsi"/>
          <w:sz w:val="22"/>
          <w:szCs w:val="22"/>
        </w:rPr>
        <w:t>La Política General de Gobierno 2020-2024 contiene cinco pilares estratégicos que se refieren al entorno social, político, económico y ambiental:</w:t>
      </w:r>
    </w:p>
    <w:p w14:paraId="5C7EFF31"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eastAsiaTheme="minorEastAsia" w:hAnsiTheme="majorHAnsi" w:cstheme="majorHAnsi"/>
          <w:sz w:val="22"/>
          <w:szCs w:val="22"/>
          <w:lang w:val="es-GT" w:eastAsia="es-GT"/>
        </w:rPr>
        <w:t>Economía, competitividad y prosperidad.</w:t>
      </w:r>
    </w:p>
    <w:p w14:paraId="0F10E99F"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Desarrollo social</w:t>
      </w:r>
      <w:r w:rsidRPr="005C7EBD">
        <w:rPr>
          <w:rFonts w:asciiTheme="majorHAnsi" w:hAnsiTheme="majorHAnsi" w:cstheme="majorHAnsi"/>
          <w:color w:val="000000"/>
          <w:sz w:val="22"/>
          <w:szCs w:val="22"/>
          <w:lang w:val="es-GT" w:eastAsia="es-GT"/>
        </w:rPr>
        <w:t>.</w:t>
      </w:r>
    </w:p>
    <w:p w14:paraId="16DF450B"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Gobernabilidad y seguridad en desarrollo.</w:t>
      </w:r>
    </w:p>
    <w:p w14:paraId="0E686707"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Estado responsable, transparente y efectivo.</w:t>
      </w:r>
    </w:p>
    <w:p w14:paraId="56453B94" w14:textId="77777777" w:rsidR="005C7EBD" w:rsidRPr="005C7EBD" w:rsidRDefault="005C7EBD" w:rsidP="005C7EBD">
      <w:pPr>
        <w:numPr>
          <w:ilvl w:val="0"/>
          <w:numId w:val="2"/>
        </w:numPr>
        <w:spacing w:line="360" w:lineRule="auto"/>
        <w:contextualSpacing/>
        <w:jc w:val="both"/>
        <w:rPr>
          <w:rFonts w:asciiTheme="majorHAnsi" w:hAnsiTheme="majorHAnsi" w:cstheme="majorHAnsi"/>
          <w:color w:val="000000"/>
          <w:sz w:val="22"/>
          <w:szCs w:val="22"/>
          <w:lang w:val="es-GT" w:eastAsia="es-GT"/>
        </w:rPr>
      </w:pPr>
      <w:r w:rsidRPr="005C7EBD">
        <w:rPr>
          <w:rFonts w:asciiTheme="majorHAnsi" w:hAnsiTheme="majorHAnsi" w:cstheme="majorHAnsi"/>
          <w:bCs/>
          <w:color w:val="000000"/>
          <w:sz w:val="22"/>
          <w:szCs w:val="22"/>
          <w:lang w:val="es-GT" w:eastAsia="es-GT"/>
        </w:rPr>
        <w:t>Relaciones con el mundo</w:t>
      </w:r>
      <w:r w:rsidRPr="005C7EBD">
        <w:rPr>
          <w:rFonts w:asciiTheme="majorHAnsi" w:hAnsiTheme="majorHAnsi" w:cstheme="majorHAnsi"/>
          <w:color w:val="000000"/>
          <w:sz w:val="22"/>
          <w:szCs w:val="22"/>
          <w:lang w:val="es-GT" w:eastAsia="es-GT"/>
        </w:rPr>
        <w:t>.</w:t>
      </w:r>
    </w:p>
    <w:p w14:paraId="390B73E8" w14:textId="77777777" w:rsidR="005C7EBD" w:rsidRPr="005C7EBD" w:rsidRDefault="005C7EBD" w:rsidP="005C7EBD">
      <w:pPr>
        <w:spacing w:line="360" w:lineRule="auto"/>
        <w:jc w:val="both"/>
        <w:rPr>
          <w:rFonts w:asciiTheme="majorHAnsi" w:hAnsiTheme="majorHAnsi" w:cstheme="majorHAnsi"/>
          <w:color w:val="000000"/>
          <w:sz w:val="22"/>
          <w:szCs w:val="22"/>
        </w:rPr>
      </w:pPr>
      <w:r w:rsidRPr="005C7EBD">
        <w:rPr>
          <w:rFonts w:asciiTheme="majorHAnsi" w:hAnsiTheme="majorHAnsi" w:cstheme="majorHAnsi"/>
          <w:color w:val="000000"/>
          <w:sz w:val="22"/>
          <w:szCs w:val="22"/>
        </w:rPr>
        <w:t xml:space="preserve">Las funciones del Ministerio de Educación lo ubican en las acciones que se disponen dentro del pilar estratégico </w:t>
      </w:r>
      <w:r w:rsidRPr="005C7EBD">
        <w:rPr>
          <w:rFonts w:asciiTheme="majorHAnsi" w:hAnsiTheme="majorHAnsi" w:cstheme="majorHAnsi"/>
          <w:b/>
          <w:bCs/>
          <w:color w:val="000000"/>
          <w:sz w:val="22"/>
          <w:szCs w:val="22"/>
        </w:rPr>
        <w:t>“Desarrollo social”</w:t>
      </w:r>
      <w:r w:rsidRPr="005C7EBD">
        <w:rPr>
          <w:rFonts w:asciiTheme="majorHAnsi" w:hAnsiTheme="majorHAnsi" w:cstheme="majorHAnsi"/>
          <w:color w:val="000000"/>
          <w:sz w:val="22"/>
          <w:szCs w:val="22"/>
        </w:rPr>
        <w:t xml:space="preserve">, dentro del cual se </w:t>
      </w:r>
      <w:r w:rsidRPr="000C0E81">
        <w:rPr>
          <w:rFonts w:asciiTheme="majorHAnsi" w:hAnsiTheme="majorHAnsi" w:cstheme="majorHAnsi"/>
          <w:sz w:val="22"/>
          <w:szCs w:val="22"/>
        </w:rPr>
        <w:t xml:space="preserve">establecen diez metas estratégicas, con </w:t>
      </w:r>
      <w:r w:rsidRPr="005C7EBD">
        <w:rPr>
          <w:rFonts w:asciiTheme="majorHAnsi" w:hAnsiTheme="majorHAnsi" w:cstheme="majorHAnsi"/>
          <w:color w:val="000000"/>
          <w:sz w:val="22"/>
          <w:szCs w:val="22"/>
        </w:rPr>
        <w:t>sus indicadores de medición.</w:t>
      </w:r>
    </w:p>
    <w:p w14:paraId="076A6EA4" w14:textId="77777777" w:rsidR="005C7EBD" w:rsidRPr="005C7EBD" w:rsidRDefault="005C7EBD" w:rsidP="005C7EBD">
      <w:pPr>
        <w:spacing w:line="360" w:lineRule="auto"/>
        <w:jc w:val="both"/>
        <w:rPr>
          <w:rFonts w:asciiTheme="majorHAnsi" w:hAnsiTheme="majorHAnsi" w:cstheme="majorHAnsi"/>
          <w:sz w:val="22"/>
          <w:szCs w:val="22"/>
        </w:rPr>
      </w:pPr>
      <w:r w:rsidRPr="005C7EBD">
        <w:rPr>
          <w:rFonts w:asciiTheme="majorHAnsi" w:hAnsiTheme="majorHAnsi" w:cstheme="majorHAnsi"/>
          <w:sz w:val="22"/>
          <w:szCs w:val="22"/>
        </w:rPr>
        <w:t>Acuerdo Gubernativo No. 32-2020 “</w:t>
      </w:r>
      <w:r w:rsidRPr="005C7EBD">
        <w:rPr>
          <w:rFonts w:asciiTheme="majorHAnsi" w:hAnsiTheme="majorHAnsi" w:cstheme="majorHAnsi"/>
          <w:i/>
          <w:sz w:val="22"/>
          <w:szCs w:val="22"/>
        </w:rPr>
        <w:t>Aprobar la Política General de Gobierno 2020-2024, que fue formulada con base en el Plan Nacional de Innovación y Desarrollo a la Gestión Pública y que operativiza la Política de Desarrollo de la Nación”</w:t>
      </w:r>
      <w:r w:rsidRPr="005C7EBD">
        <w:rPr>
          <w:rFonts w:asciiTheme="majorHAnsi" w:hAnsiTheme="majorHAnsi" w:cstheme="majorHAnsi"/>
          <w:sz w:val="22"/>
          <w:szCs w:val="22"/>
        </w:rPr>
        <w:t>.</w:t>
      </w:r>
    </w:p>
    <w:p w14:paraId="19233783" w14:textId="77777777" w:rsidR="005C7EBD" w:rsidRPr="005C7EBD" w:rsidRDefault="005C7EBD" w:rsidP="005C7EBD">
      <w:pPr>
        <w:spacing w:line="360" w:lineRule="auto"/>
        <w:jc w:val="both"/>
        <w:rPr>
          <w:rFonts w:asciiTheme="majorHAnsi" w:hAnsiTheme="majorHAnsi" w:cstheme="majorHAnsi"/>
          <w:sz w:val="22"/>
          <w:szCs w:val="22"/>
        </w:rPr>
      </w:pPr>
    </w:p>
    <w:p w14:paraId="77155D53" w14:textId="77777777" w:rsidR="005C7EBD" w:rsidRPr="005C7EBD" w:rsidRDefault="005C7EBD" w:rsidP="005C7EBD">
      <w:pPr>
        <w:spacing w:line="360" w:lineRule="auto"/>
        <w:ind w:left="-142"/>
        <w:jc w:val="both"/>
        <w:rPr>
          <w:rFonts w:asciiTheme="majorHAnsi" w:hAnsiTheme="majorHAnsi" w:cstheme="majorHAnsi"/>
          <w:sz w:val="22"/>
          <w:szCs w:val="22"/>
        </w:rPr>
      </w:pPr>
      <w:r w:rsidRPr="005C7EBD">
        <w:rPr>
          <w:rFonts w:asciiTheme="majorHAnsi" w:hAnsiTheme="majorHAnsi" w:cstheme="majorHAnsi"/>
          <w:sz w:val="22"/>
          <w:szCs w:val="22"/>
        </w:rPr>
        <w:t>Mediante el Acuerdo Gubernativo No. 32-2020 se aprobó la Política General de Gobierno 2020-2024, que operativiza la Política de Desarrollo de la Nación.</w:t>
      </w:r>
    </w:p>
    <w:p w14:paraId="09AA36F6" w14:textId="77777777" w:rsidR="005C7EBD" w:rsidRPr="005C7EBD" w:rsidRDefault="005C7EBD" w:rsidP="005C7EBD">
      <w:pPr>
        <w:spacing w:line="360" w:lineRule="auto"/>
        <w:jc w:val="both"/>
        <w:rPr>
          <w:rFonts w:asciiTheme="majorHAnsi" w:hAnsiTheme="majorHAnsi" w:cstheme="majorHAnsi"/>
          <w:b/>
          <w:sz w:val="22"/>
          <w:szCs w:val="22"/>
          <w:lang w:val="es-GT"/>
        </w:rPr>
      </w:pPr>
    </w:p>
    <w:p w14:paraId="620B2DF1"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r w:rsidRPr="005C7EBD">
        <w:rPr>
          <w:rFonts w:asciiTheme="majorHAnsi" w:hAnsiTheme="majorHAnsi" w:cstheme="majorHAnsi"/>
          <w:b/>
          <w:sz w:val="22"/>
          <w:szCs w:val="22"/>
          <w:lang w:val="es-GT"/>
        </w:rPr>
        <w:lastRenderedPageBreak/>
        <w:t>Consideraciones técnicas de los indicadores</w:t>
      </w:r>
    </w:p>
    <w:p w14:paraId="61EE67B1" w14:textId="77777777" w:rsidR="005C7EBD" w:rsidRPr="005C7EBD" w:rsidRDefault="005C7EBD" w:rsidP="005C7EBD">
      <w:pPr>
        <w:autoSpaceDE w:val="0"/>
        <w:autoSpaceDN w:val="0"/>
        <w:adjustRightInd w:val="0"/>
        <w:spacing w:line="360" w:lineRule="auto"/>
        <w:ind w:left="-142"/>
        <w:jc w:val="both"/>
        <w:rPr>
          <w:rFonts w:asciiTheme="majorHAnsi" w:hAnsiTheme="majorHAnsi" w:cstheme="majorHAnsi"/>
          <w:color w:val="000000"/>
          <w:sz w:val="22"/>
          <w:szCs w:val="22"/>
          <w:lang w:val="es-GT"/>
        </w:rPr>
      </w:pPr>
      <w:r w:rsidRPr="005C7EBD">
        <w:rPr>
          <w:rFonts w:asciiTheme="majorHAnsi" w:hAnsiTheme="majorHAnsi" w:cstheme="majorHAnsi"/>
          <w:color w:val="000000"/>
          <w:sz w:val="22"/>
          <w:szCs w:val="22"/>
          <w:lang w:val="es-GT"/>
        </w:rPr>
        <w:t xml:space="preserve">En función de la base legal indicada en el tema anterior, el Ministerio de Educación tiene establecido en la </w:t>
      </w:r>
      <w:r w:rsidRPr="005C7EBD">
        <w:rPr>
          <w:rFonts w:asciiTheme="majorHAnsi" w:hAnsiTheme="majorHAnsi" w:cstheme="majorHAnsi"/>
          <w:b/>
          <w:color w:val="000000"/>
          <w:sz w:val="22"/>
          <w:szCs w:val="22"/>
          <w:lang w:val="es-GT"/>
        </w:rPr>
        <w:t>Política General de Gobierno 2020-2024</w:t>
      </w:r>
      <w:r w:rsidRPr="005C7EBD">
        <w:rPr>
          <w:rFonts w:asciiTheme="majorHAnsi" w:hAnsiTheme="majorHAnsi" w:cstheme="majorHAnsi"/>
          <w:color w:val="000000"/>
          <w:sz w:val="22"/>
          <w:szCs w:val="22"/>
          <w:lang w:val="es-GT"/>
        </w:rPr>
        <w:t>; Pilar II, “Desarrollo Social”, las metas estratégicas siguientes.</w:t>
      </w:r>
    </w:p>
    <w:p w14:paraId="120CD5C8" w14:textId="77777777" w:rsidR="005C7EBD" w:rsidRPr="005C7EBD" w:rsidRDefault="005C7EBD" w:rsidP="005C7EBD">
      <w:pPr>
        <w:spacing w:line="360" w:lineRule="auto"/>
        <w:jc w:val="both"/>
        <w:rPr>
          <w:rFonts w:asciiTheme="majorHAnsi" w:hAnsiTheme="majorHAnsi" w:cstheme="majorHAnsi"/>
          <w:sz w:val="22"/>
          <w:szCs w:val="22"/>
          <w:lang w:val="es-GT"/>
        </w:rPr>
      </w:pPr>
      <w:r w:rsidRPr="005C7EBD">
        <w:rPr>
          <w:rFonts w:asciiTheme="majorHAnsi" w:hAnsiTheme="majorHAnsi" w:cstheme="majorHAnsi"/>
          <w:noProof/>
          <w:sz w:val="22"/>
          <w:szCs w:val="22"/>
          <w:lang w:val="es-GT" w:eastAsia="es-GT"/>
        </w:rPr>
        <mc:AlternateContent>
          <mc:Choice Requires="wps">
            <w:drawing>
              <wp:anchor distT="0" distB="0" distL="114300" distR="114300" simplePos="0" relativeHeight="251659264" behindDoc="0" locked="0" layoutInCell="1" allowOverlap="1" wp14:anchorId="24A150A5" wp14:editId="5B9F80B6">
                <wp:simplePos x="0" y="0"/>
                <wp:positionH relativeFrom="column">
                  <wp:posOffset>-92583</wp:posOffset>
                </wp:positionH>
                <wp:positionV relativeFrom="paragraph">
                  <wp:posOffset>147701</wp:posOffset>
                </wp:positionV>
                <wp:extent cx="5800725" cy="1199693"/>
                <wp:effectExtent l="0" t="0" r="28575" b="19685"/>
                <wp:wrapNone/>
                <wp:docPr id="1" name="Rectángulo 1"/>
                <wp:cNvGraphicFramePr/>
                <a:graphic xmlns:a="http://schemas.openxmlformats.org/drawingml/2006/main">
                  <a:graphicData uri="http://schemas.microsoft.com/office/word/2010/wordprocessingShape">
                    <wps:wsp>
                      <wps:cNvSpPr/>
                      <wps:spPr>
                        <a:xfrm>
                          <a:off x="0" y="0"/>
                          <a:ext cx="5800725" cy="119969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E8671" id="Rectángulo 1" o:spid="_x0000_s1026" style="position:absolute;margin-left:-7.3pt;margin-top:11.65pt;width:456.75pt;height:9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" filled="f" strokecolor="windowText" strokeweight="1pt"/>
            </w:pict>
          </mc:Fallback>
        </mc:AlternateContent>
      </w:r>
    </w:p>
    <w:p w14:paraId="11722364"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Para el año 2023 se ha incrementado la tasa neta de cobertura en el nivel preprimario en 12 puntos porcentuales.</w:t>
      </w:r>
    </w:p>
    <w:p w14:paraId="62C45C9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2221D019"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Tasa neta de </w:t>
      </w:r>
      <w:r w:rsidRPr="005C7EBD">
        <w:rPr>
          <w:rFonts w:asciiTheme="majorHAnsi" w:hAnsiTheme="majorHAnsi" w:cstheme="majorHAnsi"/>
          <w:sz w:val="22"/>
          <w:szCs w:val="22"/>
          <w:lang w:val="es-GT"/>
        </w:rPr>
        <w:t>cobertura neta</w:t>
      </w:r>
      <w:r w:rsidRPr="005C7EBD">
        <w:rPr>
          <w:rFonts w:asciiTheme="majorHAnsi" w:hAnsiTheme="majorHAnsi" w:cstheme="majorHAnsi"/>
          <w:color w:val="FF0000"/>
          <w:sz w:val="22"/>
          <w:szCs w:val="22"/>
          <w:lang w:val="es-GT"/>
        </w:rPr>
        <w:t xml:space="preserve"> </w:t>
      </w:r>
      <w:r w:rsidRPr="005C7EBD">
        <w:rPr>
          <w:rFonts w:asciiTheme="majorHAnsi" w:hAnsiTheme="majorHAnsi" w:cstheme="majorHAnsi"/>
          <w:color w:val="000000"/>
          <w:sz w:val="22"/>
          <w:szCs w:val="22"/>
          <w:lang w:val="es-GT"/>
        </w:rPr>
        <w:t>en el nivel preprimario.</w:t>
      </w:r>
    </w:p>
    <w:p w14:paraId="0639197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51.16 (2019). </w:t>
      </w:r>
    </w:p>
    <w:p w14:paraId="5793920C"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5356B4B1" w14:textId="77777777" w:rsidR="005C7EBD" w:rsidRPr="005C7EBD" w:rsidRDefault="005C7EBD" w:rsidP="005C7EBD">
      <w:pPr>
        <w:jc w:val="both"/>
        <w:rPr>
          <w:rFonts w:asciiTheme="majorHAnsi" w:hAnsiTheme="majorHAnsi" w:cstheme="majorHAnsi"/>
          <w:sz w:val="22"/>
          <w:szCs w:val="22"/>
          <w:lang w:val="es-GT"/>
        </w:rPr>
      </w:pPr>
    </w:p>
    <w:p w14:paraId="405EDE71"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noProof/>
          <w:color w:val="000000"/>
          <w:sz w:val="22"/>
          <w:szCs w:val="22"/>
          <w:lang w:val="es-GT" w:eastAsia="es-GT"/>
        </w:rPr>
        <mc:AlternateContent>
          <mc:Choice Requires="wps">
            <w:drawing>
              <wp:anchor distT="0" distB="0" distL="114300" distR="114300" simplePos="0" relativeHeight="251660288" behindDoc="0" locked="0" layoutInCell="1" allowOverlap="1" wp14:anchorId="1119BDDB" wp14:editId="23953814">
                <wp:simplePos x="0" y="0"/>
                <wp:positionH relativeFrom="margin">
                  <wp:posOffset>-85477</wp:posOffset>
                </wp:positionH>
                <wp:positionV relativeFrom="paragraph">
                  <wp:posOffset>116731</wp:posOffset>
                </wp:positionV>
                <wp:extent cx="5804453" cy="1216466"/>
                <wp:effectExtent l="0" t="0" r="25400" b="22225"/>
                <wp:wrapNone/>
                <wp:docPr id="3" name="Rectángulo 3"/>
                <wp:cNvGraphicFramePr/>
                <a:graphic xmlns:a="http://schemas.openxmlformats.org/drawingml/2006/main">
                  <a:graphicData uri="http://schemas.microsoft.com/office/word/2010/wordprocessingShape">
                    <wps:wsp>
                      <wps:cNvSpPr/>
                      <wps:spPr>
                        <a:xfrm>
                          <a:off x="0" y="0"/>
                          <a:ext cx="5804453" cy="121646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601F68" id="Rectángulo 3" o:spid="_x0000_s1026" style="position:absolute;margin-left:-6.75pt;margin-top:9.2pt;width:457.05pt;height:9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" filled="f" strokecolor="windowText" strokeweight="1pt">
                <w10:wrap anchorx="margin"/>
              </v:rect>
            </w:pict>
          </mc:Fallback>
        </mc:AlternateContent>
      </w:r>
    </w:p>
    <w:p w14:paraId="12885D5C"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Para el año 2023 se ha incrementado la tasa neta de cobertura en el nivel primario en 17 puntos porcentuales.</w:t>
      </w:r>
    </w:p>
    <w:p w14:paraId="147250C4"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0091277A"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Tasa neta de cobertura neta en el nivel primario.</w:t>
      </w:r>
    </w:p>
    <w:p w14:paraId="5BA4369B"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77.53 (2019).</w:t>
      </w:r>
    </w:p>
    <w:p w14:paraId="45CFB67F"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4C98F170" w14:textId="77777777" w:rsidR="005C7EBD" w:rsidRPr="005C7EBD" w:rsidRDefault="005C7EBD" w:rsidP="005C7EBD">
      <w:pPr>
        <w:jc w:val="both"/>
        <w:rPr>
          <w:rFonts w:asciiTheme="majorHAnsi" w:hAnsiTheme="majorHAnsi" w:cstheme="majorHAnsi"/>
          <w:sz w:val="22"/>
          <w:szCs w:val="22"/>
          <w:lang w:val="es-GT"/>
        </w:rPr>
      </w:pPr>
    </w:p>
    <w:p w14:paraId="22734495"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3B1ADB60"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1312" behindDoc="0" locked="0" layoutInCell="1" allowOverlap="1" wp14:anchorId="2E950F9D" wp14:editId="2784C44A">
                <wp:simplePos x="0" y="0"/>
                <wp:positionH relativeFrom="column">
                  <wp:posOffset>-70486</wp:posOffset>
                </wp:positionH>
                <wp:positionV relativeFrom="paragraph">
                  <wp:posOffset>-42545</wp:posOffset>
                </wp:positionV>
                <wp:extent cx="5743575" cy="11049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743575"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2553C2" id="Rectángulo 4" o:spid="_x0000_s1026" style="position:absolute;margin-left:-5.55pt;margin-top:-3.35pt;width:452.25pt;height:8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" filled="f" strokecolor="windowText" strokeweight="1pt"/>
            </w:pict>
          </mc:Fallback>
        </mc:AlternateContent>
      </w: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la tasa neta de cobertura en el nivel básico en 17 puntos porcentuales. </w:t>
      </w:r>
    </w:p>
    <w:p w14:paraId="105EC426"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1E97AA37"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Tasa neta de cobertura neta en el nivel básico. </w:t>
      </w:r>
    </w:p>
    <w:p w14:paraId="3B69D39A"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43.24 (2018). </w:t>
      </w:r>
    </w:p>
    <w:p w14:paraId="65E789B1"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7E9A47D4" w14:textId="77777777" w:rsidR="005C7EBD" w:rsidRPr="005C7EBD" w:rsidRDefault="005C7EBD" w:rsidP="005C7EBD">
      <w:pPr>
        <w:jc w:val="both"/>
        <w:rPr>
          <w:rFonts w:asciiTheme="majorHAnsi" w:hAnsiTheme="majorHAnsi" w:cstheme="majorHAnsi"/>
          <w:sz w:val="22"/>
          <w:szCs w:val="22"/>
          <w:lang w:val="es-GT"/>
        </w:rPr>
      </w:pPr>
    </w:p>
    <w:p w14:paraId="7FC28BDE"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sz w:val="22"/>
          <w:szCs w:val="22"/>
          <w:lang w:val="es-GT" w:eastAsia="es-GT"/>
        </w:rPr>
        <mc:AlternateContent>
          <mc:Choice Requires="wps">
            <w:drawing>
              <wp:anchor distT="0" distB="0" distL="114300" distR="114300" simplePos="0" relativeHeight="251662336" behindDoc="0" locked="0" layoutInCell="1" allowOverlap="1" wp14:anchorId="2B6B24F3" wp14:editId="48753E7E">
                <wp:simplePos x="0" y="0"/>
                <wp:positionH relativeFrom="margin">
                  <wp:posOffset>-60961</wp:posOffset>
                </wp:positionH>
                <wp:positionV relativeFrom="paragraph">
                  <wp:posOffset>131445</wp:posOffset>
                </wp:positionV>
                <wp:extent cx="5724525" cy="11049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5724525"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56AAFA" id="Rectángulo 5" o:spid="_x0000_s1026" style="position:absolute;margin-left:-4.8pt;margin-top:10.35pt;width:450.75pt;height:87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" filled="f" strokecolor="windowText" strokeweight="1pt">
                <w10:wrap anchorx="margin"/>
              </v:rect>
            </w:pict>
          </mc:Fallback>
        </mc:AlternateContent>
      </w:r>
    </w:p>
    <w:p w14:paraId="657CCD97"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la tasa neta de cobertura en el nivel diversificado en 11 puntos porcentuales. </w:t>
      </w:r>
    </w:p>
    <w:p w14:paraId="7FE80320"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02CCEAB3"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Tasa neta de cobertura neta en el nivel diversificado. </w:t>
      </w:r>
    </w:p>
    <w:p w14:paraId="0A54831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24.91 (2018). </w:t>
      </w:r>
    </w:p>
    <w:p w14:paraId="673697D9"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346C4607" w14:textId="77777777" w:rsidR="005C7EBD" w:rsidRPr="005C7EBD" w:rsidRDefault="005C7EBD" w:rsidP="005C7EBD">
      <w:pPr>
        <w:jc w:val="both"/>
        <w:rPr>
          <w:rFonts w:asciiTheme="majorHAnsi" w:hAnsiTheme="majorHAnsi" w:cstheme="majorHAnsi"/>
          <w:sz w:val="22"/>
          <w:szCs w:val="22"/>
          <w:lang w:val="es-GT"/>
        </w:rPr>
      </w:pPr>
    </w:p>
    <w:p w14:paraId="38C73BCE" w14:textId="77777777" w:rsidR="005C7EBD" w:rsidRPr="005C7EBD" w:rsidRDefault="005C7EBD" w:rsidP="005C7EBD">
      <w:pPr>
        <w:jc w:val="both"/>
        <w:rPr>
          <w:rFonts w:asciiTheme="majorHAnsi" w:hAnsiTheme="majorHAnsi" w:cstheme="majorHAnsi"/>
          <w:sz w:val="22"/>
          <w:szCs w:val="22"/>
          <w:lang w:val="es-GT"/>
        </w:rPr>
      </w:pPr>
    </w:p>
    <w:p w14:paraId="4E4E2FB1" w14:textId="2C8EC12C" w:rsidR="005C7EBD" w:rsidRDefault="005C7EBD" w:rsidP="005C7EBD">
      <w:pPr>
        <w:jc w:val="both"/>
        <w:rPr>
          <w:rFonts w:asciiTheme="majorHAnsi" w:hAnsiTheme="majorHAnsi" w:cstheme="majorHAnsi"/>
          <w:sz w:val="22"/>
          <w:szCs w:val="22"/>
          <w:lang w:val="es-GT"/>
        </w:rPr>
      </w:pPr>
    </w:p>
    <w:p w14:paraId="7B9583CE" w14:textId="31EE7956" w:rsidR="000C0E81" w:rsidRDefault="000C0E81" w:rsidP="005C7EBD">
      <w:pPr>
        <w:jc w:val="both"/>
        <w:rPr>
          <w:rFonts w:asciiTheme="majorHAnsi" w:hAnsiTheme="majorHAnsi" w:cstheme="majorHAnsi"/>
          <w:sz w:val="22"/>
          <w:szCs w:val="22"/>
          <w:lang w:val="es-GT"/>
        </w:rPr>
      </w:pPr>
    </w:p>
    <w:p w14:paraId="24B1A9B1" w14:textId="4EC7AFC9" w:rsidR="000C0E81" w:rsidRDefault="000C0E81" w:rsidP="005C7EBD">
      <w:pPr>
        <w:jc w:val="both"/>
        <w:rPr>
          <w:rFonts w:asciiTheme="majorHAnsi" w:hAnsiTheme="majorHAnsi" w:cstheme="majorHAnsi"/>
          <w:sz w:val="22"/>
          <w:szCs w:val="22"/>
          <w:lang w:val="es-GT"/>
        </w:rPr>
      </w:pPr>
    </w:p>
    <w:p w14:paraId="5DAF8C9B" w14:textId="32B2074D" w:rsidR="000C0E81" w:rsidRDefault="000C0E81" w:rsidP="005C7EBD">
      <w:pPr>
        <w:jc w:val="both"/>
        <w:rPr>
          <w:rFonts w:asciiTheme="majorHAnsi" w:hAnsiTheme="majorHAnsi" w:cstheme="majorHAnsi"/>
          <w:sz w:val="22"/>
          <w:szCs w:val="22"/>
          <w:lang w:val="es-GT"/>
        </w:rPr>
      </w:pPr>
    </w:p>
    <w:p w14:paraId="72CEEB83" w14:textId="072DF8EE" w:rsidR="000C0E81" w:rsidRDefault="000C0E81" w:rsidP="005C7EBD">
      <w:pPr>
        <w:jc w:val="both"/>
        <w:rPr>
          <w:rFonts w:asciiTheme="majorHAnsi" w:hAnsiTheme="majorHAnsi" w:cstheme="majorHAnsi"/>
          <w:sz w:val="22"/>
          <w:szCs w:val="22"/>
          <w:lang w:val="es-GT"/>
        </w:rPr>
      </w:pPr>
    </w:p>
    <w:p w14:paraId="09B36B27" w14:textId="43225C7B" w:rsidR="000C0E81" w:rsidRDefault="000C0E81" w:rsidP="005C7EBD">
      <w:pPr>
        <w:jc w:val="both"/>
        <w:rPr>
          <w:rFonts w:asciiTheme="majorHAnsi" w:hAnsiTheme="majorHAnsi" w:cstheme="majorHAnsi"/>
          <w:sz w:val="22"/>
          <w:szCs w:val="22"/>
          <w:lang w:val="es-GT"/>
        </w:rPr>
      </w:pPr>
    </w:p>
    <w:p w14:paraId="3BD20280" w14:textId="77777777" w:rsidR="000C0E81" w:rsidRPr="005C7EBD" w:rsidRDefault="000C0E81" w:rsidP="005C7EBD">
      <w:pPr>
        <w:jc w:val="both"/>
        <w:rPr>
          <w:rFonts w:asciiTheme="majorHAnsi" w:hAnsiTheme="majorHAnsi" w:cstheme="majorHAnsi"/>
          <w:sz w:val="22"/>
          <w:szCs w:val="22"/>
          <w:lang w:val="es-GT"/>
        </w:rPr>
      </w:pPr>
    </w:p>
    <w:p w14:paraId="28887BAF"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color w:val="FF0000"/>
          <w:sz w:val="22"/>
          <w:szCs w:val="22"/>
          <w:lang w:val="es-GT" w:eastAsia="es-GT"/>
        </w:rPr>
        <mc:AlternateContent>
          <mc:Choice Requires="wps">
            <w:drawing>
              <wp:anchor distT="0" distB="0" distL="114300" distR="114300" simplePos="0" relativeHeight="251663360" behindDoc="0" locked="0" layoutInCell="1" allowOverlap="1" wp14:anchorId="54EB34CC" wp14:editId="5E556BD2">
                <wp:simplePos x="0" y="0"/>
                <wp:positionH relativeFrom="column">
                  <wp:posOffset>-53671</wp:posOffset>
                </wp:positionH>
                <wp:positionV relativeFrom="paragraph">
                  <wp:posOffset>70319</wp:posOffset>
                </wp:positionV>
                <wp:extent cx="5701085" cy="1216550"/>
                <wp:effectExtent l="0" t="0" r="13970" b="22225"/>
                <wp:wrapNone/>
                <wp:docPr id="6" name="Rectángulo 6"/>
                <wp:cNvGraphicFramePr/>
                <a:graphic xmlns:a="http://schemas.openxmlformats.org/drawingml/2006/main">
                  <a:graphicData uri="http://schemas.microsoft.com/office/word/2010/wordprocessingShape">
                    <wps:wsp>
                      <wps:cNvSpPr/>
                      <wps:spPr>
                        <a:xfrm>
                          <a:off x="0" y="0"/>
                          <a:ext cx="5701085" cy="1216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3CF2E0" id="Rectángulo 6" o:spid="_x0000_s1026" style="position:absolute;margin-left:-4.25pt;margin-top:5.55pt;width:448.9pt;height:9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" filled="f" strokecolor="windowText" strokeweight="1pt"/>
            </w:pict>
          </mc:Fallback>
        </mc:AlternateContent>
      </w:r>
    </w:p>
    <w:p w14:paraId="16FDAF02"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 xml:space="preserve">Meta: </w:t>
      </w:r>
      <w:r w:rsidRPr="005C7EBD">
        <w:rPr>
          <w:rFonts w:asciiTheme="majorHAnsi" w:hAnsiTheme="majorHAnsi" w:cstheme="majorHAnsi"/>
          <w:sz w:val="22"/>
          <w:szCs w:val="22"/>
          <w:lang w:val="es-GT"/>
        </w:rPr>
        <w:t xml:space="preserve">Para el año 2023 se redujo el porcentaje de la población analfabeta en 5.09 puntos porcentuales. </w:t>
      </w:r>
    </w:p>
    <w:p w14:paraId="1D2FAFAD" w14:textId="77777777" w:rsidR="005C7EBD" w:rsidRPr="005C7EBD" w:rsidRDefault="005C7EBD" w:rsidP="005C7EBD">
      <w:pPr>
        <w:autoSpaceDE w:val="0"/>
        <w:autoSpaceDN w:val="0"/>
        <w:adjustRightInd w:val="0"/>
        <w:jc w:val="both"/>
        <w:rPr>
          <w:rFonts w:asciiTheme="majorHAnsi" w:hAnsiTheme="majorHAnsi" w:cstheme="majorHAnsi"/>
          <w:b/>
          <w:bCs/>
          <w:sz w:val="22"/>
          <w:szCs w:val="22"/>
          <w:lang w:val="es-GT"/>
        </w:rPr>
      </w:pPr>
    </w:p>
    <w:p w14:paraId="4973526B"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Indicador para medición</w:t>
      </w:r>
      <w:r w:rsidRPr="005C7EBD">
        <w:rPr>
          <w:rFonts w:asciiTheme="majorHAnsi" w:hAnsiTheme="majorHAnsi" w:cstheme="majorHAnsi"/>
          <w:sz w:val="22"/>
          <w:szCs w:val="22"/>
          <w:lang w:val="es-GT"/>
        </w:rPr>
        <w:t xml:space="preserve">: Tasa de analfabetismo. </w:t>
      </w:r>
    </w:p>
    <w:p w14:paraId="682DB327"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 xml:space="preserve">Línea base: </w:t>
      </w:r>
      <w:r w:rsidRPr="005C7EBD">
        <w:rPr>
          <w:rFonts w:asciiTheme="majorHAnsi" w:hAnsiTheme="majorHAnsi" w:cstheme="majorHAnsi"/>
          <w:sz w:val="22"/>
          <w:szCs w:val="22"/>
          <w:lang w:val="es-GT"/>
        </w:rPr>
        <w:t xml:space="preserve">13.09 (2015). </w:t>
      </w:r>
    </w:p>
    <w:p w14:paraId="3C3EC8AB"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sz w:val="22"/>
          <w:szCs w:val="22"/>
          <w:lang w:val="es-GT"/>
        </w:rPr>
        <w:t xml:space="preserve">Responsable directo: </w:t>
      </w:r>
      <w:r w:rsidRPr="005C7EBD">
        <w:rPr>
          <w:rFonts w:asciiTheme="majorHAnsi" w:hAnsiTheme="majorHAnsi" w:cstheme="majorHAnsi"/>
          <w:sz w:val="22"/>
          <w:szCs w:val="22"/>
          <w:lang w:val="es-GT"/>
        </w:rPr>
        <w:t>MINEDUC.</w:t>
      </w:r>
    </w:p>
    <w:p w14:paraId="4FA5185E" w14:textId="77777777" w:rsidR="005C7EBD" w:rsidRPr="005C7EBD" w:rsidRDefault="005C7EBD" w:rsidP="005C7EBD">
      <w:pPr>
        <w:jc w:val="both"/>
        <w:rPr>
          <w:rFonts w:asciiTheme="majorHAnsi" w:hAnsiTheme="majorHAnsi" w:cstheme="majorHAnsi"/>
          <w:sz w:val="22"/>
          <w:szCs w:val="22"/>
          <w:lang w:val="es-GT"/>
        </w:rPr>
      </w:pPr>
    </w:p>
    <w:p w14:paraId="0BA4BC99"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4384" behindDoc="0" locked="0" layoutInCell="1" allowOverlap="1" wp14:anchorId="0E163ED8" wp14:editId="067598FF">
                <wp:simplePos x="0" y="0"/>
                <wp:positionH relativeFrom="column">
                  <wp:posOffset>-41910</wp:posOffset>
                </wp:positionH>
                <wp:positionV relativeFrom="paragraph">
                  <wp:posOffset>148590</wp:posOffset>
                </wp:positionV>
                <wp:extent cx="5734050" cy="11049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5734050"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46B4E6" id="Rectángulo 7" o:spid="_x0000_s1026" style="position:absolute;margin-left:-3.3pt;margin-top:11.7pt;width:451.5pt;height:8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" filled="f" strokecolor="windowText" strokeweight="1pt"/>
            </w:pict>
          </mc:Fallback>
        </mc:AlternateContent>
      </w:r>
    </w:p>
    <w:p w14:paraId="49E3E304"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Meta</w:t>
      </w:r>
      <w:r w:rsidRPr="00BC4804">
        <w:rPr>
          <w:rFonts w:asciiTheme="majorHAnsi" w:hAnsiTheme="majorHAnsi" w:cstheme="majorHAnsi"/>
          <w:b/>
          <w:bCs/>
          <w:color w:val="000000"/>
          <w:sz w:val="22"/>
          <w:szCs w:val="22"/>
          <w:lang w:val="es-GT"/>
        </w:rPr>
        <w:t xml:space="preserve">: </w:t>
      </w:r>
      <w:r w:rsidRPr="00BC4804">
        <w:rPr>
          <w:rFonts w:asciiTheme="majorHAnsi" w:hAnsiTheme="majorHAnsi" w:cstheme="majorHAnsi"/>
          <w:color w:val="000000"/>
          <w:sz w:val="22"/>
          <w:szCs w:val="22"/>
          <w:lang w:val="es-GT"/>
        </w:rPr>
        <w:t>Para el año 2023 se ha incrementado la cobertura de seguro médico escolar a 3</w:t>
      </w:r>
      <w:r w:rsidRPr="005C7EBD">
        <w:rPr>
          <w:rFonts w:asciiTheme="majorHAnsi" w:hAnsiTheme="majorHAnsi" w:cstheme="majorHAnsi"/>
          <w:color w:val="000000"/>
          <w:sz w:val="22"/>
          <w:szCs w:val="22"/>
          <w:lang w:val="es-GT"/>
        </w:rPr>
        <w:t xml:space="preserve"> millones de niños. </w:t>
      </w:r>
    </w:p>
    <w:p w14:paraId="4688FB73"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1023534E"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niños con seguro médico escolar. </w:t>
      </w:r>
    </w:p>
    <w:p w14:paraId="363F99B9"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0 (2019). </w:t>
      </w:r>
    </w:p>
    <w:p w14:paraId="40F92580"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31206A6E" w14:textId="77777777" w:rsidR="005C7EBD" w:rsidRPr="005C7EBD" w:rsidRDefault="005C7EBD" w:rsidP="005C7EBD">
      <w:pPr>
        <w:jc w:val="both"/>
        <w:rPr>
          <w:rFonts w:asciiTheme="majorHAnsi" w:hAnsiTheme="majorHAnsi" w:cstheme="majorHAnsi"/>
          <w:sz w:val="22"/>
          <w:szCs w:val="22"/>
          <w:lang w:val="es-GT"/>
        </w:rPr>
      </w:pPr>
    </w:p>
    <w:p w14:paraId="439FCA03"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5408" behindDoc="0" locked="0" layoutInCell="1" allowOverlap="1" wp14:anchorId="687B2EC6" wp14:editId="58BE4E5A">
                <wp:simplePos x="0" y="0"/>
                <wp:positionH relativeFrom="column">
                  <wp:posOffset>-51435</wp:posOffset>
                </wp:positionH>
                <wp:positionV relativeFrom="paragraph">
                  <wp:posOffset>137795</wp:posOffset>
                </wp:positionV>
                <wp:extent cx="5734050" cy="11049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5734050" cy="1104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2805C8" id="Rectángulo 8" o:spid="_x0000_s1026" style="position:absolute;margin-left:-4.05pt;margin-top:10.85pt;width:451.5pt;height:8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" filled="f" strokecolor="windowText" strokeweight="1pt"/>
            </w:pict>
          </mc:Fallback>
        </mc:AlternateContent>
      </w:r>
    </w:p>
    <w:p w14:paraId="6415BCF0"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w:t>
      </w:r>
      <w:r w:rsidRPr="00BC4804">
        <w:rPr>
          <w:rFonts w:asciiTheme="majorHAnsi" w:hAnsiTheme="majorHAnsi" w:cstheme="majorHAnsi"/>
          <w:color w:val="000000"/>
          <w:sz w:val="22"/>
          <w:szCs w:val="22"/>
          <w:lang w:val="es-GT"/>
        </w:rPr>
        <w:t>ha incrementado la inversión en servicios de alimentación escolar</w:t>
      </w:r>
      <w:r w:rsidRPr="005C7EBD">
        <w:rPr>
          <w:rFonts w:asciiTheme="majorHAnsi" w:hAnsiTheme="majorHAnsi" w:cstheme="majorHAnsi"/>
          <w:color w:val="000000"/>
          <w:sz w:val="22"/>
          <w:szCs w:val="22"/>
          <w:lang w:val="es-GT"/>
        </w:rPr>
        <w:t xml:space="preserve"> en Q 830.4 millones. </w:t>
      </w:r>
    </w:p>
    <w:p w14:paraId="30FE39F3"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2401F54C"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Inversión en servicios de alimentación escolar. </w:t>
      </w:r>
    </w:p>
    <w:p w14:paraId="7A2C2C2A"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Q 1,879.16 millones (2019). </w:t>
      </w:r>
    </w:p>
    <w:p w14:paraId="0BA73302"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285C8EFF" w14:textId="77777777" w:rsidR="005C7EBD" w:rsidRPr="005C7EBD" w:rsidRDefault="005C7EBD" w:rsidP="005C7EBD">
      <w:pPr>
        <w:jc w:val="both"/>
        <w:rPr>
          <w:rFonts w:asciiTheme="majorHAnsi" w:hAnsiTheme="majorHAnsi" w:cstheme="majorHAnsi"/>
          <w:sz w:val="22"/>
          <w:szCs w:val="22"/>
          <w:lang w:val="es-GT"/>
        </w:rPr>
      </w:pPr>
    </w:p>
    <w:p w14:paraId="01E69A1E"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sz w:val="22"/>
          <w:szCs w:val="22"/>
          <w:lang w:val="es-GT" w:eastAsia="es-GT"/>
        </w:rPr>
        <mc:AlternateContent>
          <mc:Choice Requires="wps">
            <w:drawing>
              <wp:anchor distT="0" distB="0" distL="114300" distR="114300" simplePos="0" relativeHeight="251666432" behindDoc="0" locked="0" layoutInCell="1" allowOverlap="1" wp14:anchorId="17D0A62B" wp14:editId="3A83806F">
                <wp:simplePos x="0" y="0"/>
                <wp:positionH relativeFrom="column">
                  <wp:posOffset>-45720</wp:posOffset>
                </wp:positionH>
                <wp:positionV relativeFrom="paragraph">
                  <wp:posOffset>101848</wp:posOffset>
                </wp:positionV>
                <wp:extent cx="5705475" cy="1319337"/>
                <wp:effectExtent l="0" t="0" r="28575" b="14605"/>
                <wp:wrapNone/>
                <wp:docPr id="9" name="Rectángulo 9"/>
                <wp:cNvGraphicFramePr/>
                <a:graphic xmlns:a="http://schemas.openxmlformats.org/drawingml/2006/main">
                  <a:graphicData uri="http://schemas.microsoft.com/office/word/2010/wordprocessingShape">
                    <wps:wsp>
                      <wps:cNvSpPr/>
                      <wps:spPr>
                        <a:xfrm>
                          <a:off x="0" y="0"/>
                          <a:ext cx="5705475" cy="131933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165AFC" id="Rectángulo 9" o:spid="_x0000_s1026" style="position:absolute;margin-left:-3.6pt;margin-top:8pt;width:449.25pt;height:10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" filled="f" strokecolor="windowText" strokeweight="1pt"/>
            </w:pict>
          </mc:Fallback>
        </mc:AlternateContent>
      </w:r>
    </w:p>
    <w:p w14:paraId="06B31D56"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la cantidad de becas escolares para estudiantes del nivel básico y diversificado en 19,579. </w:t>
      </w:r>
    </w:p>
    <w:p w14:paraId="207914B5"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601C3185"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estudiantes del nivel básico y diversificado con becas escolares. </w:t>
      </w:r>
    </w:p>
    <w:p w14:paraId="34A49AB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31,262 (2019). </w:t>
      </w:r>
    </w:p>
    <w:p w14:paraId="29D11788"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55809233" w14:textId="77777777" w:rsidR="005C7EBD" w:rsidRPr="005C7EBD" w:rsidRDefault="005C7EBD" w:rsidP="005C7EBD">
      <w:pPr>
        <w:jc w:val="both"/>
        <w:rPr>
          <w:rFonts w:asciiTheme="majorHAnsi" w:hAnsiTheme="majorHAnsi" w:cstheme="majorHAnsi"/>
          <w:sz w:val="22"/>
          <w:szCs w:val="22"/>
          <w:lang w:val="es-GT"/>
        </w:rPr>
      </w:pPr>
    </w:p>
    <w:p w14:paraId="4075878B"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77DDB13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0EE577E2" w14:textId="77777777" w:rsidR="005C7EBD" w:rsidRPr="005C7EBD" w:rsidRDefault="005C7EBD" w:rsidP="005C7EBD">
      <w:pPr>
        <w:autoSpaceDE w:val="0"/>
        <w:autoSpaceDN w:val="0"/>
        <w:adjustRightInd w:val="0"/>
        <w:jc w:val="both"/>
        <w:rPr>
          <w:rFonts w:asciiTheme="majorHAnsi" w:hAnsiTheme="majorHAnsi" w:cstheme="majorHAnsi"/>
          <w:sz w:val="22"/>
          <w:szCs w:val="22"/>
          <w:lang w:val="es-GT"/>
        </w:rPr>
      </w:pPr>
      <w:r w:rsidRPr="005C7EBD">
        <w:rPr>
          <w:rFonts w:asciiTheme="majorHAnsi" w:hAnsiTheme="majorHAnsi" w:cstheme="majorHAnsi"/>
          <w:b/>
          <w:bCs/>
          <w:noProof/>
          <w:color w:val="000000"/>
          <w:sz w:val="22"/>
          <w:szCs w:val="22"/>
          <w:lang w:val="es-GT" w:eastAsia="es-GT"/>
        </w:rPr>
        <mc:AlternateContent>
          <mc:Choice Requires="wps">
            <w:drawing>
              <wp:anchor distT="0" distB="0" distL="114300" distR="114300" simplePos="0" relativeHeight="251667456" behindDoc="0" locked="0" layoutInCell="1" allowOverlap="1" wp14:anchorId="61E300BB" wp14:editId="5CA0010A">
                <wp:simplePos x="0" y="0"/>
                <wp:positionH relativeFrom="margin">
                  <wp:posOffset>-45720</wp:posOffset>
                </wp:positionH>
                <wp:positionV relativeFrom="paragraph">
                  <wp:posOffset>-33020</wp:posOffset>
                </wp:positionV>
                <wp:extent cx="5705475" cy="12477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5705475" cy="1247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6EED45" id="Rectángulo 10" o:spid="_x0000_s1026" style="position:absolute;margin-left:-3.6pt;margin-top:-2.6pt;width:449.25pt;height:9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" filled="f" strokecolor="windowText" strokeweight="1pt">
                <w10:wrap anchorx="margin"/>
              </v:rect>
            </w:pict>
          </mc:Fallback>
        </mc:AlternateContent>
      </w: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sz w:val="22"/>
          <w:szCs w:val="22"/>
          <w:lang w:val="es-GT"/>
        </w:rPr>
        <w:t xml:space="preserve">Para el año 2023 se </w:t>
      </w:r>
      <w:r w:rsidRPr="00BC4804">
        <w:rPr>
          <w:rFonts w:asciiTheme="majorHAnsi" w:hAnsiTheme="majorHAnsi" w:cstheme="majorHAnsi"/>
          <w:sz w:val="22"/>
          <w:szCs w:val="22"/>
          <w:lang w:val="es-GT"/>
        </w:rPr>
        <w:t>ha incrementado el número de maestros graduados de</w:t>
      </w:r>
      <w:r w:rsidRPr="005C7EBD">
        <w:rPr>
          <w:rFonts w:asciiTheme="majorHAnsi" w:hAnsiTheme="majorHAnsi" w:cstheme="majorHAnsi"/>
          <w:sz w:val="22"/>
          <w:szCs w:val="22"/>
          <w:lang w:val="es-GT"/>
        </w:rPr>
        <w:t xml:space="preserve"> licenciatura en 8,610. </w:t>
      </w:r>
    </w:p>
    <w:p w14:paraId="1434E35C"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4C02F41F"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maestros egresados de la universidad por medio del Programa Académico de Desarrollo Profesional Docente. </w:t>
      </w:r>
    </w:p>
    <w:p w14:paraId="285C2FD7"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w:t>
      </w:r>
      <w:r w:rsidRPr="005C7EBD">
        <w:rPr>
          <w:rFonts w:asciiTheme="majorHAnsi" w:hAnsiTheme="majorHAnsi" w:cstheme="majorHAnsi"/>
          <w:b/>
          <w:bCs/>
          <w:sz w:val="22"/>
          <w:szCs w:val="22"/>
          <w:lang w:val="es-GT"/>
        </w:rPr>
        <w:t xml:space="preserve">base: </w:t>
      </w:r>
      <w:r w:rsidRPr="005C7EBD">
        <w:rPr>
          <w:rFonts w:asciiTheme="majorHAnsi" w:hAnsiTheme="majorHAnsi" w:cstheme="majorHAnsi"/>
          <w:sz w:val="22"/>
          <w:szCs w:val="22"/>
          <w:lang w:val="es-GT"/>
        </w:rPr>
        <w:t xml:space="preserve">6,390 (2017/20). </w:t>
      </w:r>
    </w:p>
    <w:p w14:paraId="73A41821"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793E9FB3" w14:textId="77777777" w:rsidR="005C7EBD" w:rsidRPr="005C7EBD" w:rsidRDefault="005C7EBD" w:rsidP="005C7EBD">
      <w:pPr>
        <w:jc w:val="both"/>
        <w:rPr>
          <w:rFonts w:asciiTheme="majorHAnsi" w:hAnsiTheme="majorHAnsi" w:cstheme="majorHAnsi"/>
          <w:sz w:val="22"/>
          <w:szCs w:val="22"/>
          <w:lang w:val="es-GT"/>
        </w:rPr>
      </w:pPr>
    </w:p>
    <w:p w14:paraId="72817DA7" w14:textId="77777777" w:rsidR="005C7EBD" w:rsidRPr="005C7EBD" w:rsidRDefault="005C7EBD" w:rsidP="005C7EBD">
      <w:pPr>
        <w:jc w:val="both"/>
        <w:rPr>
          <w:rFonts w:asciiTheme="majorHAnsi" w:hAnsiTheme="majorHAnsi" w:cstheme="majorHAnsi"/>
          <w:sz w:val="22"/>
          <w:szCs w:val="22"/>
          <w:lang w:val="es-GT"/>
        </w:rPr>
      </w:pPr>
    </w:p>
    <w:p w14:paraId="6CBE5199" w14:textId="77777777" w:rsidR="005C7EBD" w:rsidRPr="005C7EBD" w:rsidRDefault="005C7EBD" w:rsidP="005C7EBD">
      <w:pPr>
        <w:jc w:val="both"/>
        <w:rPr>
          <w:rFonts w:asciiTheme="majorHAnsi" w:hAnsiTheme="majorHAnsi" w:cstheme="majorHAnsi"/>
          <w:sz w:val="22"/>
          <w:szCs w:val="22"/>
          <w:lang w:val="es-GT"/>
        </w:rPr>
      </w:pPr>
    </w:p>
    <w:p w14:paraId="1B36CA15"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noProof/>
          <w:sz w:val="22"/>
          <w:szCs w:val="22"/>
          <w:lang w:val="es-GT" w:eastAsia="es-GT"/>
        </w:rPr>
        <w:lastRenderedPageBreak/>
        <mc:AlternateContent>
          <mc:Choice Requires="wps">
            <w:drawing>
              <wp:anchor distT="0" distB="0" distL="114300" distR="114300" simplePos="0" relativeHeight="251668480" behindDoc="0" locked="0" layoutInCell="1" allowOverlap="1" wp14:anchorId="0154C72F" wp14:editId="2C6A14CA">
                <wp:simplePos x="0" y="0"/>
                <wp:positionH relativeFrom="margin">
                  <wp:posOffset>-64770</wp:posOffset>
                </wp:positionH>
                <wp:positionV relativeFrom="paragraph">
                  <wp:posOffset>123825</wp:posOffset>
                </wp:positionV>
                <wp:extent cx="5705475" cy="124777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5705475" cy="1247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D8B483" id="Rectángulo 11" o:spid="_x0000_s1026" style="position:absolute;margin-left:-5.1pt;margin-top:9.75pt;width:449.25pt;height:9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" filled="f" strokecolor="windowText" strokeweight="1pt">
                <w10:wrap anchorx="margin"/>
              </v:rect>
            </w:pict>
          </mc:Fallback>
        </mc:AlternateContent>
      </w:r>
    </w:p>
    <w:p w14:paraId="1FF35ACD"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p>
    <w:p w14:paraId="55EF35C6"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Meta: </w:t>
      </w:r>
      <w:r w:rsidRPr="005C7EBD">
        <w:rPr>
          <w:rFonts w:asciiTheme="majorHAnsi" w:hAnsiTheme="majorHAnsi" w:cstheme="majorHAnsi"/>
          <w:color w:val="000000"/>
          <w:sz w:val="22"/>
          <w:szCs w:val="22"/>
          <w:lang w:val="es-GT"/>
        </w:rPr>
        <w:t xml:space="preserve">Para el año 2023 se ha incrementado en 8,000 el número de maestros. </w:t>
      </w:r>
    </w:p>
    <w:p w14:paraId="54EEDBD3" w14:textId="77777777" w:rsidR="005C7EBD" w:rsidRPr="005C7EBD" w:rsidRDefault="005C7EBD" w:rsidP="005C7EBD">
      <w:pPr>
        <w:autoSpaceDE w:val="0"/>
        <w:autoSpaceDN w:val="0"/>
        <w:adjustRightInd w:val="0"/>
        <w:jc w:val="both"/>
        <w:rPr>
          <w:rFonts w:asciiTheme="majorHAnsi" w:hAnsiTheme="majorHAnsi" w:cstheme="majorHAnsi"/>
          <w:b/>
          <w:bCs/>
          <w:color w:val="000000"/>
          <w:sz w:val="22"/>
          <w:szCs w:val="22"/>
          <w:lang w:val="es-GT"/>
        </w:rPr>
      </w:pPr>
    </w:p>
    <w:p w14:paraId="6A7400E5"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Indicador para medición</w:t>
      </w:r>
      <w:r w:rsidRPr="005C7EBD">
        <w:rPr>
          <w:rFonts w:asciiTheme="majorHAnsi" w:hAnsiTheme="majorHAnsi" w:cstheme="majorHAnsi"/>
          <w:color w:val="000000"/>
          <w:sz w:val="22"/>
          <w:szCs w:val="22"/>
          <w:lang w:val="es-GT"/>
        </w:rPr>
        <w:t xml:space="preserve">: Número de maestros. </w:t>
      </w:r>
    </w:p>
    <w:p w14:paraId="7F5349D3" w14:textId="77777777" w:rsidR="005C7EBD" w:rsidRPr="005C7EBD" w:rsidRDefault="005C7EBD" w:rsidP="005C7EBD">
      <w:pPr>
        <w:autoSpaceDE w:val="0"/>
        <w:autoSpaceDN w:val="0"/>
        <w:adjustRightInd w:val="0"/>
        <w:jc w:val="both"/>
        <w:rPr>
          <w:rFonts w:asciiTheme="majorHAnsi" w:hAnsiTheme="majorHAnsi" w:cstheme="majorHAnsi"/>
          <w:color w:val="000000"/>
          <w:sz w:val="22"/>
          <w:szCs w:val="22"/>
          <w:lang w:val="es-GT"/>
        </w:rPr>
      </w:pPr>
      <w:r w:rsidRPr="005C7EBD">
        <w:rPr>
          <w:rFonts w:asciiTheme="majorHAnsi" w:hAnsiTheme="majorHAnsi" w:cstheme="majorHAnsi"/>
          <w:b/>
          <w:bCs/>
          <w:color w:val="000000"/>
          <w:sz w:val="22"/>
          <w:szCs w:val="22"/>
          <w:lang w:val="es-GT"/>
        </w:rPr>
        <w:t xml:space="preserve">Línea base: </w:t>
      </w:r>
      <w:r w:rsidRPr="005C7EBD">
        <w:rPr>
          <w:rFonts w:asciiTheme="majorHAnsi" w:hAnsiTheme="majorHAnsi" w:cstheme="majorHAnsi"/>
          <w:color w:val="000000"/>
          <w:sz w:val="22"/>
          <w:szCs w:val="22"/>
          <w:lang w:val="es-GT"/>
        </w:rPr>
        <w:t xml:space="preserve">144,196 (2019). </w:t>
      </w:r>
    </w:p>
    <w:p w14:paraId="39440E6D" w14:textId="77777777" w:rsidR="005C7EBD" w:rsidRPr="005C7EBD" w:rsidRDefault="005C7EBD" w:rsidP="005C7EBD">
      <w:pPr>
        <w:jc w:val="both"/>
        <w:rPr>
          <w:rFonts w:asciiTheme="majorHAnsi" w:hAnsiTheme="majorHAnsi" w:cstheme="majorHAnsi"/>
          <w:sz w:val="22"/>
          <w:szCs w:val="22"/>
          <w:lang w:val="es-GT"/>
        </w:rPr>
      </w:pPr>
      <w:r w:rsidRPr="005C7EBD">
        <w:rPr>
          <w:rFonts w:asciiTheme="majorHAnsi" w:hAnsiTheme="majorHAnsi" w:cstheme="majorHAnsi"/>
          <w:b/>
          <w:bCs/>
          <w:color w:val="000000"/>
          <w:sz w:val="22"/>
          <w:szCs w:val="22"/>
          <w:lang w:val="es-GT"/>
        </w:rPr>
        <w:t xml:space="preserve">Responsable directo: </w:t>
      </w:r>
      <w:r w:rsidRPr="005C7EBD">
        <w:rPr>
          <w:rFonts w:asciiTheme="majorHAnsi" w:hAnsiTheme="majorHAnsi" w:cstheme="majorHAnsi"/>
          <w:color w:val="000000"/>
          <w:sz w:val="22"/>
          <w:szCs w:val="22"/>
          <w:lang w:val="es-GT"/>
        </w:rPr>
        <w:t>MINEDUC.</w:t>
      </w:r>
    </w:p>
    <w:p w14:paraId="02EA3F4C" w14:textId="77777777" w:rsidR="005C7EBD" w:rsidRPr="005C7EBD" w:rsidRDefault="005C7EBD" w:rsidP="005C7EBD">
      <w:pPr>
        <w:spacing w:line="360" w:lineRule="auto"/>
        <w:jc w:val="both"/>
        <w:rPr>
          <w:rFonts w:asciiTheme="majorHAnsi" w:hAnsiTheme="majorHAnsi" w:cstheme="majorHAnsi"/>
          <w:sz w:val="22"/>
          <w:szCs w:val="22"/>
          <w:lang w:val="es-GT"/>
        </w:rPr>
      </w:pPr>
    </w:p>
    <w:p w14:paraId="6F8AF5F6"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p>
    <w:p w14:paraId="410AD6C8"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r w:rsidRPr="005C7EBD">
        <w:rPr>
          <w:rFonts w:asciiTheme="majorHAnsi" w:hAnsiTheme="majorHAnsi" w:cstheme="majorHAnsi"/>
          <w:b/>
          <w:sz w:val="22"/>
          <w:szCs w:val="22"/>
          <w:lang w:val="es-GT"/>
        </w:rPr>
        <w:t>A continuación, se detalla la información relacionada con los indicadores de las metas estratégicas:</w:t>
      </w:r>
    </w:p>
    <w:p w14:paraId="57DE7D2A" w14:textId="77777777" w:rsidR="005C7EBD" w:rsidRPr="005C7EBD" w:rsidRDefault="005C7EBD" w:rsidP="005C7EBD">
      <w:pPr>
        <w:spacing w:line="360" w:lineRule="auto"/>
        <w:ind w:left="-142"/>
        <w:jc w:val="both"/>
        <w:rPr>
          <w:rFonts w:asciiTheme="majorHAnsi" w:hAnsiTheme="majorHAnsi" w:cstheme="majorHAnsi"/>
          <w:b/>
          <w:sz w:val="22"/>
          <w:szCs w:val="22"/>
          <w:lang w:val="es-GT"/>
        </w:rPr>
      </w:pPr>
    </w:p>
    <w:p w14:paraId="0D748B2E" w14:textId="77777777" w:rsidR="005C7EBD" w:rsidRPr="003C151E"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Tasa Neta de Cobertura del nivel preprimario</w:t>
      </w:r>
      <w:r w:rsidRPr="005C7EBD">
        <w:rPr>
          <w:rFonts w:asciiTheme="majorHAnsi" w:hAnsiTheme="majorHAnsi" w:cstheme="majorHAnsi"/>
          <w:b/>
          <w:sz w:val="22"/>
          <w:szCs w:val="22"/>
          <w:lang w:val="es-GT"/>
        </w:rPr>
        <w:t xml:space="preserve">. </w:t>
      </w:r>
      <w:r w:rsidRPr="005C7EBD">
        <w:rPr>
          <w:rFonts w:asciiTheme="majorHAnsi" w:hAnsiTheme="majorHAnsi" w:cstheme="majorHAnsi"/>
          <w:sz w:val="22"/>
          <w:szCs w:val="22"/>
          <w:lang w:val="es-GT"/>
        </w:rPr>
        <w:t xml:space="preserve">Para el cálculo de este indicador se utilizaron las nuevas proyecciones de población que tienen como base el XII Censo Nacional de Población y VII de Vivienda 2018; dichas proyecciones son publicadas y oficializadas por el Instituto Nacional de Estadística -INE-. </w:t>
      </w:r>
      <w:r w:rsidRPr="003C151E">
        <w:rPr>
          <w:rFonts w:asciiTheme="majorHAnsi" w:hAnsiTheme="majorHAnsi" w:cstheme="majorHAnsi"/>
          <w:sz w:val="22"/>
          <w:szCs w:val="22"/>
          <w:lang w:val="es-GT"/>
        </w:rPr>
        <w:t>La tasa neta de cobertura fue proporcionada por la Subdirección de Análisis Estadístico e Información Educativa de la Dirección de Planificación Educativa -Diplan-.</w:t>
      </w:r>
    </w:p>
    <w:p w14:paraId="4B0C0BCC" w14:textId="77777777" w:rsidR="005C7EBD" w:rsidRPr="005C7EBD" w:rsidRDefault="005C7EBD" w:rsidP="005C7EBD">
      <w:pPr>
        <w:spacing w:line="360" w:lineRule="auto"/>
        <w:jc w:val="both"/>
        <w:rPr>
          <w:rFonts w:asciiTheme="majorHAnsi" w:hAnsiTheme="majorHAnsi" w:cstheme="majorHAnsi"/>
          <w:sz w:val="22"/>
          <w:szCs w:val="22"/>
          <w:lang w:val="es-GT"/>
        </w:rPr>
      </w:pPr>
    </w:p>
    <w:p w14:paraId="282D71C5"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 xml:space="preserve">Es importante indicar que este indicador no tiene un movimiento mensual, cuatrimestral o semestral; este indicador tiene movimiento anual; por este motivo, en </w:t>
      </w:r>
      <w:r w:rsidRPr="00C7687A">
        <w:rPr>
          <w:rFonts w:asciiTheme="majorHAnsi" w:hAnsiTheme="majorHAnsi" w:cstheme="majorHAnsi"/>
          <w:sz w:val="22"/>
          <w:szCs w:val="22"/>
          <w:lang w:val="es-GT"/>
        </w:rPr>
        <w:t xml:space="preserve">los meses en que se indica en la matriz aparece el mismo dato; por otra parte, tampoco es un </w:t>
      </w:r>
      <w:r w:rsidRPr="005C7EBD">
        <w:rPr>
          <w:rFonts w:asciiTheme="majorHAnsi" w:hAnsiTheme="majorHAnsi" w:cstheme="majorHAnsi"/>
          <w:sz w:val="22"/>
          <w:szCs w:val="22"/>
          <w:lang w:val="es-GT"/>
        </w:rPr>
        <w:t>dato acumulativo.</w:t>
      </w:r>
    </w:p>
    <w:p w14:paraId="7272522E" w14:textId="77777777" w:rsidR="005C7EBD" w:rsidRPr="005C7EBD" w:rsidRDefault="005C7EBD" w:rsidP="005C7EBD">
      <w:pPr>
        <w:spacing w:line="360" w:lineRule="auto"/>
        <w:jc w:val="both"/>
        <w:rPr>
          <w:rFonts w:asciiTheme="majorHAnsi" w:hAnsiTheme="majorHAnsi" w:cstheme="majorHAnsi"/>
          <w:sz w:val="22"/>
          <w:szCs w:val="22"/>
          <w:lang w:val="es-GT"/>
        </w:rPr>
      </w:pPr>
    </w:p>
    <w:p w14:paraId="26C790B8" w14:textId="77777777" w:rsidR="005C7EBD" w:rsidRPr="005C7EBD"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Tasa neta de cobertura del nivel primario</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Para este indicador se utilizaron las nuevas proyecciones de población que tienen como base el XII Censo Nacional de Población y VII de Vivienda 2018</w:t>
      </w:r>
      <w:r w:rsidRPr="003C151E">
        <w:rPr>
          <w:rFonts w:asciiTheme="majorHAnsi" w:hAnsiTheme="majorHAnsi" w:cstheme="majorHAnsi"/>
          <w:sz w:val="22"/>
          <w:szCs w:val="22"/>
          <w:lang w:val="es-GT"/>
        </w:rPr>
        <w:t>; dichas proyecciones son publicadas y oficializadas por el Instituto Nacional de Estadística -INE-. La tasa neta de cobertura fue proporcionada por la Subdirección de Análisis Estadístico e Información Educativa de la Dirección de Planificación Educativa -Diplan-.</w:t>
      </w:r>
    </w:p>
    <w:p w14:paraId="5107ACCC" w14:textId="77777777" w:rsidR="005C7EBD" w:rsidRPr="005C7EBD" w:rsidRDefault="005C7EBD" w:rsidP="005C7EBD">
      <w:pPr>
        <w:spacing w:line="360" w:lineRule="auto"/>
        <w:jc w:val="both"/>
        <w:rPr>
          <w:rFonts w:asciiTheme="majorHAnsi" w:hAnsiTheme="majorHAnsi" w:cstheme="majorHAnsi"/>
          <w:sz w:val="22"/>
          <w:szCs w:val="22"/>
          <w:lang w:val="es-GT"/>
        </w:rPr>
      </w:pPr>
    </w:p>
    <w:p w14:paraId="2E7CF2AA"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5C7EBD">
        <w:rPr>
          <w:rFonts w:asciiTheme="majorHAnsi" w:hAnsiTheme="majorHAnsi" w:cstheme="majorHAnsi"/>
          <w:sz w:val="22"/>
          <w:szCs w:val="22"/>
          <w:lang w:val="es-GT"/>
        </w:rPr>
        <w:t>Este indicador no tiene un movimiento mensual, cuatrimestral o semestral; este indicador tiene movimiento anual; por ese motivo</w:t>
      </w:r>
      <w:r w:rsidRPr="00C7687A">
        <w:rPr>
          <w:rFonts w:asciiTheme="majorHAnsi" w:hAnsiTheme="majorHAnsi" w:cstheme="majorHAnsi"/>
          <w:sz w:val="22"/>
          <w:szCs w:val="22"/>
          <w:lang w:val="es-GT"/>
        </w:rPr>
        <w:t xml:space="preserve">, en los meses en que se indica en la matriz </w:t>
      </w:r>
      <w:r w:rsidRPr="005C7EBD">
        <w:rPr>
          <w:rFonts w:asciiTheme="majorHAnsi" w:hAnsiTheme="majorHAnsi" w:cstheme="majorHAnsi"/>
          <w:sz w:val="22"/>
          <w:szCs w:val="22"/>
          <w:lang w:val="es-GT"/>
        </w:rPr>
        <w:t>aparece el mismo dato; por otra parte, tampoco es un dato acumulativo.</w:t>
      </w:r>
    </w:p>
    <w:p w14:paraId="0A763476" w14:textId="77777777" w:rsidR="005C7EBD" w:rsidRPr="005C7EBD" w:rsidRDefault="005C7EBD" w:rsidP="005C7EBD">
      <w:pPr>
        <w:spacing w:line="360" w:lineRule="auto"/>
        <w:jc w:val="both"/>
        <w:rPr>
          <w:rFonts w:asciiTheme="majorHAnsi" w:hAnsiTheme="majorHAnsi" w:cstheme="majorHAnsi"/>
          <w:sz w:val="22"/>
          <w:szCs w:val="22"/>
          <w:lang w:val="es-GT"/>
        </w:rPr>
      </w:pPr>
    </w:p>
    <w:p w14:paraId="73C73807" w14:textId="77777777" w:rsidR="005C7EBD" w:rsidRPr="003C151E"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lastRenderedPageBreak/>
        <w:t>Tasa neta de cobertura neta en el ciclo básico</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 xml:space="preserve">Para el indicador correspondiente a la Tasa Neta Cobertura del nivel </w:t>
      </w:r>
      <w:r w:rsidRPr="003C151E">
        <w:rPr>
          <w:rFonts w:asciiTheme="majorHAnsi" w:hAnsiTheme="majorHAnsi" w:cstheme="majorHAnsi"/>
          <w:sz w:val="22"/>
          <w:szCs w:val="22"/>
          <w:lang w:val="es-GT"/>
        </w:rPr>
        <w:t>medio (ciclo básico), se utilizaron las nuevas proyecciones de población que tienen como base el XII Censo Nacional de Población y VII de Vivienda 2018; dichas proyecciones son publicadas y oficializadas por el Instituto Nacional de Estadística -INE-. La información se obtiene de la Subdirección de Análisis Estadístico e Información Educativa de la Dirección de Planificación Educativa -Diplan-.</w:t>
      </w:r>
    </w:p>
    <w:p w14:paraId="3CBD6858" w14:textId="77777777" w:rsidR="005C7EBD" w:rsidRPr="003C151E" w:rsidRDefault="005C7EBD" w:rsidP="005C7EBD">
      <w:pPr>
        <w:spacing w:line="360" w:lineRule="auto"/>
        <w:jc w:val="both"/>
        <w:rPr>
          <w:rFonts w:asciiTheme="majorHAnsi" w:hAnsiTheme="majorHAnsi" w:cstheme="majorHAnsi"/>
          <w:sz w:val="22"/>
          <w:szCs w:val="22"/>
          <w:lang w:val="es-GT"/>
        </w:rPr>
      </w:pPr>
    </w:p>
    <w:p w14:paraId="4958BEED"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3C151E">
        <w:rPr>
          <w:rFonts w:asciiTheme="majorHAnsi" w:hAnsiTheme="majorHAnsi" w:cstheme="majorHAnsi"/>
          <w:sz w:val="22"/>
          <w:szCs w:val="22"/>
          <w:lang w:val="es-GT"/>
        </w:rPr>
        <w:t xml:space="preserve">Este indicador no tiene un movimiento </w:t>
      </w:r>
      <w:r w:rsidRPr="005C7EBD">
        <w:rPr>
          <w:rFonts w:asciiTheme="majorHAnsi" w:hAnsiTheme="majorHAnsi" w:cstheme="majorHAnsi"/>
          <w:sz w:val="22"/>
          <w:szCs w:val="22"/>
          <w:lang w:val="es-GT"/>
        </w:rPr>
        <w:t xml:space="preserve">mensual, cuatrimestral o semestral; este indicador tiene movimiento anual; por ese motivo, </w:t>
      </w:r>
      <w:r w:rsidRPr="00C7687A">
        <w:rPr>
          <w:rFonts w:asciiTheme="majorHAnsi" w:hAnsiTheme="majorHAnsi" w:cstheme="majorHAnsi"/>
          <w:sz w:val="22"/>
          <w:szCs w:val="22"/>
          <w:lang w:val="es-GT"/>
        </w:rPr>
        <w:t xml:space="preserve">en los meses en que se indica en la matriz </w:t>
      </w:r>
      <w:r w:rsidRPr="005C7EBD">
        <w:rPr>
          <w:rFonts w:asciiTheme="majorHAnsi" w:hAnsiTheme="majorHAnsi" w:cstheme="majorHAnsi"/>
          <w:sz w:val="22"/>
          <w:szCs w:val="22"/>
          <w:lang w:val="es-GT"/>
        </w:rPr>
        <w:t>aparece el mismo dato; por otra parte, tampoco es un dato acumulativo.</w:t>
      </w:r>
    </w:p>
    <w:p w14:paraId="6CA16475" w14:textId="77777777" w:rsidR="005C7EBD" w:rsidRPr="005C7EBD" w:rsidRDefault="005C7EBD" w:rsidP="005C7EBD">
      <w:pPr>
        <w:spacing w:line="360" w:lineRule="auto"/>
        <w:jc w:val="both"/>
        <w:rPr>
          <w:rFonts w:asciiTheme="majorHAnsi" w:hAnsiTheme="majorHAnsi" w:cstheme="majorHAnsi"/>
          <w:sz w:val="22"/>
          <w:szCs w:val="22"/>
          <w:lang w:val="es-GT"/>
        </w:rPr>
      </w:pPr>
    </w:p>
    <w:p w14:paraId="0697DEF5" w14:textId="77777777" w:rsidR="005C7EBD" w:rsidRPr="003C151E"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Tasa neta de cobertura neta en el ciclo diversificado</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 xml:space="preserve">Para el indicador correspondiente a la Tasa Neta Cobertura del nivel medio (ciclo diversificado), se utilizaron las nuevas proyecciones de </w:t>
      </w:r>
      <w:r w:rsidRPr="003C151E">
        <w:rPr>
          <w:rFonts w:asciiTheme="majorHAnsi" w:hAnsiTheme="majorHAnsi" w:cstheme="majorHAnsi"/>
          <w:sz w:val="22"/>
          <w:szCs w:val="22"/>
          <w:lang w:val="es-GT"/>
        </w:rPr>
        <w:t>población que tienen como base el XII Censo Nacional de Población y VII de Vivienda 2018; dichas proyecciones son publicadas y oficializadas por el Instituto Nacional de Estadística -INE-. La información se obtiene de la Subdirección de Análisis Estadístico e Información Educativa de la Dirección de Planificación Educativa -Diplan-.</w:t>
      </w:r>
    </w:p>
    <w:p w14:paraId="0B5119A0" w14:textId="77777777" w:rsidR="005C7EBD" w:rsidRPr="003C151E" w:rsidRDefault="005C7EBD" w:rsidP="005C7EBD">
      <w:pPr>
        <w:spacing w:line="360" w:lineRule="auto"/>
        <w:jc w:val="both"/>
        <w:rPr>
          <w:rFonts w:asciiTheme="majorHAnsi" w:hAnsiTheme="majorHAnsi" w:cstheme="majorHAnsi"/>
          <w:sz w:val="22"/>
          <w:szCs w:val="22"/>
          <w:lang w:val="es-GT"/>
        </w:rPr>
      </w:pPr>
    </w:p>
    <w:p w14:paraId="4150C094" w14:textId="77777777" w:rsidR="005C7EBD" w:rsidRPr="005C7EBD" w:rsidRDefault="005C7EBD" w:rsidP="005C7EBD">
      <w:pPr>
        <w:spacing w:line="360" w:lineRule="auto"/>
        <w:ind w:left="708"/>
        <w:jc w:val="both"/>
        <w:rPr>
          <w:rFonts w:asciiTheme="majorHAnsi" w:hAnsiTheme="majorHAnsi" w:cstheme="majorHAnsi"/>
          <w:sz w:val="22"/>
          <w:szCs w:val="22"/>
          <w:lang w:val="es-GT"/>
        </w:rPr>
      </w:pPr>
      <w:r w:rsidRPr="003C151E">
        <w:rPr>
          <w:rFonts w:asciiTheme="majorHAnsi" w:hAnsiTheme="majorHAnsi" w:cstheme="majorHAnsi"/>
          <w:sz w:val="22"/>
          <w:szCs w:val="22"/>
          <w:lang w:val="es-GT"/>
        </w:rPr>
        <w:t>Este indicador no tiene un movimiento mensual, cuatrimestral o semestral</w:t>
      </w:r>
      <w:r w:rsidRPr="005C7EBD">
        <w:rPr>
          <w:rFonts w:asciiTheme="majorHAnsi" w:hAnsiTheme="majorHAnsi" w:cstheme="majorHAnsi"/>
          <w:sz w:val="22"/>
          <w:szCs w:val="22"/>
          <w:lang w:val="es-GT"/>
        </w:rPr>
        <w:t>; este indicador tiene movimiento anual; por ese motivo</w:t>
      </w:r>
      <w:r w:rsidRPr="00C7687A">
        <w:rPr>
          <w:rFonts w:asciiTheme="majorHAnsi" w:hAnsiTheme="majorHAnsi" w:cstheme="majorHAnsi"/>
          <w:sz w:val="22"/>
          <w:szCs w:val="22"/>
          <w:lang w:val="es-GT"/>
        </w:rPr>
        <w:t xml:space="preserve">, en los meses en que se indica en la </w:t>
      </w:r>
      <w:r w:rsidRPr="005C7EBD">
        <w:rPr>
          <w:rFonts w:asciiTheme="majorHAnsi" w:hAnsiTheme="majorHAnsi" w:cstheme="majorHAnsi"/>
          <w:sz w:val="22"/>
          <w:szCs w:val="22"/>
          <w:lang w:val="es-GT"/>
        </w:rPr>
        <w:t>matriz aparece el mismo dato; por otra parte, tampoco es un dato acumulativo.</w:t>
      </w:r>
    </w:p>
    <w:p w14:paraId="51F8C31C" w14:textId="77777777" w:rsidR="005C7EBD" w:rsidRPr="005C7EBD" w:rsidRDefault="005C7EBD" w:rsidP="005C7EBD">
      <w:pPr>
        <w:spacing w:line="360" w:lineRule="auto"/>
        <w:jc w:val="both"/>
        <w:rPr>
          <w:rFonts w:asciiTheme="majorHAnsi" w:hAnsiTheme="majorHAnsi" w:cstheme="majorHAnsi"/>
          <w:b/>
          <w:sz w:val="22"/>
          <w:szCs w:val="22"/>
          <w:lang w:val="es-GT"/>
        </w:rPr>
      </w:pPr>
    </w:p>
    <w:p w14:paraId="6D906A4C" w14:textId="7B067279" w:rsidR="00C13609" w:rsidRPr="004978DE" w:rsidRDefault="005C7EBD" w:rsidP="005C7EBD">
      <w:pPr>
        <w:numPr>
          <w:ilvl w:val="0"/>
          <w:numId w:val="2"/>
        </w:numPr>
        <w:spacing w:line="360" w:lineRule="auto"/>
        <w:jc w:val="both"/>
        <w:rPr>
          <w:rFonts w:asciiTheme="majorHAnsi" w:hAnsiTheme="majorHAnsi" w:cstheme="majorHAnsi"/>
          <w:sz w:val="22"/>
          <w:szCs w:val="22"/>
          <w:lang w:val="es-GT"/>
        </w:rPr>
      </w:pPr>
      <w:r w:rsidRPr="005C7EBD">
        <w:rPr>
          <w:rFonts w:asciiTheme="majorHAnsi" w:hAnsiTheme="majorHAnsi" w:cstheme="majorHAnsi"/>
          <w:b/>
          <w:i/>
          <w:sz w:val="22"/>
          <w:szCs w:val="22"/>
          <w:lang w:val="es-GT"/>
        </w:rPr>
        <w:t>Número de maestros.</w:t>
      </w:r>
      <w:r w:rsidRPr="005C7EBD">
        <w:rPr>
          <w:rFonts w:asciiTheme="majorHAnsi" w:hAnsiTheme="majorHAnsi" w:cstheme="majorHAnsi"/>
          <w:i/>
          <w:sz w:val="22"/>
          <w:szCs w:val="22"/>
          <w:lang w:val="es-GT"/>
        </w:rPr>
        <w:t xml:space="preserve"> </w:t>
      </w:r>
      <w:r w:rsidRPr="004978DE">
        <w:rPr>
          <w:rFonts w:asciiTheme="majorHAnsi" w:hAnsiTheme="majorHAnsi" w:cstheme="majorHAnsi"/>
          <w:sz w:val="22"/>
          <w:szCs w:val="22"/>
          <w:lang w:val="es-GT"/>
        </w:rPr>
        <w:t xml:space="preserve">El indicador número de </w:t>
      </w:r>
      <w:r w:rsidR="008622B7" w:rsidRPr="004978DE">
        <w:rPr>
          <w:rFonts w:asciiTheme="majorHAnsi" w:hAnsiTheme="majorHAnsi" w:cstheme="majorHAnsi"/>
          <w:sz w:val="22"/>
          <w:szCs w:val="22"/>
          <w:lang w:val="es-GT"/>
        </w:rPr>
        <w:t>maestros</w:t>
      </w:r>
      <w:r w:rsidRPr="004978DE">
        <w:rPr>
          <w:rFonts w:asciiTheme="majorHAnsi" w:hAnsiTheme="majorHAnsi" w:cstheme="majorHAnsi"/>
          <w:sz w:val="22"/>
          <w:szCs w:val="22"/>
          <w:lang w:val="es-GT"/>
        </w:rPr>
        <w:t xml:space="preserve"> muestra la cantidad de maestros contratados en el período. Con relación a este indicador, en el O</w:t>
      </w:r>
      <w:r w:rsidR="00413B2F" w:rsidRPr="004978DE">
        <w:rPr>
          <w:rFonts w:asciiTheme="majorHAnsi" w:hAnsiTheme="majorHAnsi" w:cstheme="majorHAnsi"/>
          <w:sz w:val="22"/>
          <w:szCs w:val="22"/>
          <w:lang w:val="es-GT"/>
        </w:rPr>
        <w:t xml:space="preserve">ficio </w:t>
      </w:r>
      <w:r w:rsidR="0017523F" w:rsidRPr="004978DE">
        <w:rPr>
          <w:rFonts w:asciiTheme="majorHAnsi" w:hAnsiTheme="majorHAnsi" w:cstheme="majorHAnsi"/>
          <w:sz w:val="22"/>
          <w:szCs w:val="22"/>
          <w:lang w:val="es-GT"/>
        </w:rPr>
        <w:t>No.</w:t>
      </w:r>
      <w:r w:rsidRPr="004978DE">
        <w:rPr>
          <w:rFonts w:asciiTheme="majorHAnsi" w:hAnsiTheme="majorHAnsi" w:cstheme="majorHAnsi"/>
          <w:sz w:val="22"/>
          <w:szCs w:val="22"/>
          <w:lang w:val="es-GT"/>
        </w:rPr>
        <w:t xml:space="preserve"> DIREH-</w:t>
      </w:r>
      <w:r w:rsidR="00A83B11" w:rsidRPr="004978DE">
        <w:rPr>
          <w:rFonts w:asciiTheme="majorHAnsi" w:hAnsiTheme="majorHAnsi" w:cstheme="majorHAnsi"/>
          <w:sz w:val="22"/>
          <w:szCs w:val="22"/>
          <w:lang w:val="es-GT"/>
        </w:rPr>
        <w:t>D</w:t>
      </w:r>
      <w:r w:rsidR="006C77CC" w:rsidRPr="004978DE">
        <w:rPr>
          <w:rFonts w:asciiTheme="majorHAnsi" w:hAnsiTheme="majorHAnsi" w:cstheme="majorHAnsi"/>
          <w:sz w:val="22"/>
          <w:szCs w:val="22"/>
          <w:lang w:val="es-GT"/>
        </w:rPr>
        <w:t>CP</w:t>
      </w:r>
      <w:r w:rsidR="0085769B" w:rsidRPr="004978DE">
        <w:rPr>
          <w:rFonts w:asciiTheme="majorHAnsi" w:hAnsiTheme="majorHAnsi" w:cstheme="majorHAnsi"/>
          <w:sz w:val="22"/>
          <w:szCs w:val="22"/>
          <w:lang w:val="es-GT"/>
        </w:rPr>
        <w:t>-</w:t>
      </w:r>
      <w:r w:rsidR="003621EB" w:rsidRPr="004978DE">
        <w:rPr>
          <w:rFonts w:asciiTheme="majorHAnsi" w:hAnsiTheme="majorHAnsi" w:cstheme="majorHAnsi"/>
          <w:sz w:val="22"/>
          <w:szCs w:val="22"/>
          <w:lang w:val="es-GT"/>
        </w:rPr>
        <w:t>22</w:t>
      </w:r>
      <w:r w:rsidR="00984349" w:rsidRPr="004978DE">
        <w:rPr>
          <w:rFonts w:asciiTheme="majorHAnsi" w:hAnsiTheme="majorHAnsi" w:cstheme="majorHAnsi"/>
          <w:sz w:val="22"/>
          <w:szCs w:val="22"/>
          <w:lang w:val="es-GT"/>
        </w:rPr>
        <w:t>,219</w:t>
      </w:r>
      <w:r w:rsidR="0085769B" w:rsidRPr="004978DE">
        <w:rPr>
          <w:rFonts w:asciiTheme="majorHAnsi" w:hAnsiTheme="majorHAnsi" w:cstheme="majorHAnsi"/>
          <w:sz w:val="22"/>
          <w:szCs w:val="22"/>
          <w:lang w:val="es-GT"/>
        </w:rPr>
        <w:t xml:space="preserve">-2022 de fecha </w:t>
      </w:r>
      <w:r w:rsidR="00984349" w:rsidRPr="004978DE">
        <w:rPr>
          <w:rFonts w:asciiTheme="majorHAnsi" w:hAnsiTheme="majorHAnsi" w:cstheme="majorHAnsi"/>
          <w:sz w:val="22"/>
          <w:szCs w:val="22"/>
          <w:lang w:val="es-GT"/>
        </w:rPr>
        <w:t>07</w:t>
      </w:r>
      <w:r w:rsidR="00762F8F" w:rsidRPr="004978DE">
        <w:rPr>
          <w:rFonts w:asciiTheme="majorHAnsi" w:hAnsiTheme="majorHAnsi" w:cstheme="majorHAnsi"/>
          <w:sz w:val="22"/>
          <w:szCs w:val="22"/>
          <w:lang w:val="es-GT"/>
        </w:rPr>
        <w:t xml:space="preserve"> </w:t>
      </w:r>
      <w:r w:rsidR="0085769B" w:rsidRPr="004978DE">
        <w:rPr>
          <w:rFonts w:asciiTheme="majorHAnsi" w:hAnsiTheme="majorHAnsi" w:cstheme="majorHAnsi"/>
          <w:sz w:val="22"/>
          <w:szCs w:val="22"/>
          <w:lang w:val="es-GT"/>
        </w:rPr>
        <w:t xml:space="preserve">de </w:t>
      </w:r>
      <w:r w:rsidR="00984349" w:rsidRPr="004978DE">
        <w:rPr>
          <w:rFonts w:asciiTheme="majorHAnsi" w:hAnsiTheme="majorHAnsi" w:cstheme="majorHAnsi"/>
          <w:sz w:val="22"/>
          <w:szCs w:val="22"/>
          <w:lang w:val="es-GT"/>
        </w:rPr>
        <w:t xml:space="preserve">diciembre </w:t>
      </w:r>
      <w:r w:rsidR="0085769B" w:rsidRPr="004978DE">
        <w:rPr>
          <w:rFonts w:asciiTheme="majorHAnsi" w:hAnsiTheme="majorHAnsi" w:cstheme="majorHAnsi"/>
          <w:sz w:val="22"/>
          <w:szCs w:val="22"/>
          <w:lang w:val="es-GT"/>
        </w:rPr>
        <w:t xml:space="preserve">de </w:t>
      </w:r>
      <w:r w:rsidR="008622B7" w:rsidRPr="004978DE">
        <w:rPr>
          <w:rFonts w:asciiTheme="majorHAnsi" w:hAnsiTheme="majorHAnsi" w:cstheme="majorHAnsi"/>
          <w:sz w:val="22"/>
          <w:szCs w:val="22"/>
          <w:lang w:val="es-GT"/>
        </w:rPr>
        <w:t>2022</w:t>
      </w:r>
      <w:r w:rsidRPr="004978DE">
        <w:rPr>
          <w:rFonts w:asciiTheme="majorHAnsi" w:hAnsiTheme="majorHAnsi" w:cstheme="majorHAnsi"/>
          <w:sz w:val="22"/>
          <w:szCs w:val="22"/>
          <w:lang w:val="es-GT"/>
        </w:rPr>
        <w:t xml:space="preserve">, donde se adjunta </w:t>
      </w:r>
      <w:r w:rsidR="00B33457" w:rsidRPr="004978DE">
        <w:rPr>
          <w:rFonts w:asciiTheme="majorHAnsi" w:hAnsiTheme="majorHAnsi" w:cstheme="majorHAnsi"/>
          <w:sz w:val="22"/>
          <w:szCs w:val="22"/>
          <w:lang w:val="es-GT"/>
        </w:rPr>
        <w:t xml:space="preserve">cuadro </w:t>
      </w:r>
      <w:r w:rsidR="00C53B6D" w:rsidRPr="004978DE">
        <w:rPr>
          <w:rFonts w:asciiTheme="majorHAnsi" w:hAnsiTheme="majorHAnsi" w:cstheme="majorHAnsi"/>
          <w:sz w:val="22"/>
          <w:szCs w:val="22"/>
          <w:lang w:val="es-GT"/>
        </w:rPr>
        <w:t xml:space="preserve">PERSONAS NOMBRADAS Y CONTRATADAS CON CARGO A LOS RENGLONES PREPRESUPUESTARIOS 011 “PERSONAL PERMANENTE” Y 021 “PERSONAL SUPERNUMERARIO” </w:t>
      </w:r>
      <w:r w:rsidR="004B6C72" w:rsidRPr="004978DE">
        <w:rPr>
          <w:rFonts w:asciiTheme="majorHAnsi" w:hAnsiTheme="majorHAnsi" w:cstheme="majorHAnsi"/>
          <w:sz w:val="22"/>
          <w:szCs w:val="22"/>
          <w:lang w:val="es-GT"/>
        </w:rPr>
        <w:t>SEPTIEMBRE</w:t>
      </w:r>
      <w:r w:rsidR="00C53B6D" w:rsidRPr="004978DE">
        <w:rPr>
          <w:rFonts w:asciiTheme="majorHAnsi" w:hAnsiTheme="majorHAnsi" w:cstheme="majorHAnsi"/>
          <w:sz w:val="22"/>
          <w:szCs w:val="22"/>
          <w:lang w:val="es-GT"/>
        </w:rPr>
        <w:t>–</w:t>
      </w:r>
      <w:r w:rsidR="00BA4CA9" w:rsidRPr="004978DE">
        <w:rPr>
          <w:rFonts w:asciiTheme="majorHAnsi" w:hAnsiTheme="majorHAnsi" w:cstheme="majorHAnsi"/>
          <w:sz w:val="22"/>
          <w:szCs w:val="22"/>
          <w:lang w:val="es-GT"/>
        </w:rPr>
        <w:t>DICIEMBRE</w:t>
      </w:r>
      <w:r w:rsidR="00C53B6D" w:rsidRPr="004978DE">
        <w:rPr>
          <w:rFonts w:asciiTheme="majorHAnsi" w:hAnsiTheme="majorHAnsi" w:cstheme="majorHAnsi"/>
          <w:sz w:val="22"/>
          <w:szCs w:val="22"/>
          <w:lang w:val="es-GT"/>
        </w:rPr>
        <w:t xml:space="preserve"> DE 2022. </w:t>
      </w:r>
      <w:r w:rsidR="0005557F" w:rsidRPr="004978DE">
        <w:rPr>
          <w:rFonts w:asciiTheme="majorHAnsi" w:hAnsiTheme="majorHAnsi" w:cstheme="majorHAnsi"/>
          <w:sz w:val="22"/>
          <w:szCs w:val="22"/>
          <w:lang w:val="es-GT"/>
        </w:rPr>
        <w:t xml:space="preserve">En el </w:t>
      </w:r>
      <w:r w:rsidR="004154C5" w:rsidRPr="004978DE">
        <w:rPr>
          <w:rFonts w:asciiTheme="majorHAnsi" w:hAnsiTheme="majorHAnsi" w:cstheme="majorHAnsi"/>
          <w:sz w:val="22"/>
          <w:szCs w:val="22"/>
          <w:lang w:val="es-GT"/>
        </w:rPr>
        <w:t xml:space="preserve">tercer </w:t>
      </w:r>
      <w:r w:rsidR="0005557F" w:rsidRPr="004978DE">
        <w:rPr>
          <w:rFonts w:asciiTheme="majorHAnsi" w:hAnsiTheme="majorHAnsi" w:cstheme="majorHAnsi"/>
          <w:sz w:val="22"/>
          <w:szCs w:val="22"/>
          <w:lang w:val="es-GT"/>
        </w:rPr>
        <w:t xml:space="preserve">cuatrimestre se contrataron y nombraron </w:t>
      </w:r>
      <w:r w:rsidR="004154C5" w:rsidRPr="004978DE">
        <w:rPr>
          <w:rFonts w:asciiTheme="majorHAnsi" w:hAnsiTheme="majorHAnsi" w:cstheme="majorHAnsi"/>
          <w:sz w:val="22"/>
          <w:szCs w:val="22"/>
          <w:lang w:val="es-GT"/>
        </w:rPr>
        <w:t>3,500</w:t>
      </w:r>
      <w:r w:rsidR="00A329DF" w:rsidRPr="004978DE">
        <w:rPr>
          <w:rFonts w:asciiTheme="majorHAnsi" w:hAnsiTheme="majorHAnsi" w:cstheme="majorHAnsi"/>
          <w:sz w:val="22"/>
          <w:szCs w:val="22"/>
          <w:lang w:val="es-GT"/>
        </w:rPr>
        <w:t xml:space="preserve"> personas</w:t>
      </w:r>
      <w:r w:rsidR="00A91021" w:rsidRPr="004978DE">
        <w:rPr>
          <w:rFonts w:asciiTheme="majorHAnsi" w:hAnsiTheme="majorHAnsi" w:cstheme="majorHAnsi"/>
          <w:sz w:val="22"/>
          <w:szCs w:val="22"/>
          <w:lang w:val="es-GT"/>
        </w:rPr>
        <w:t xml:space="preserve"> en</w:t>
      </w:r>
      <w:r w:rsidR="00490484" w:rsidRPr="004978DE">
        <w:rPr>
          <w:rFonts w:asciiTheme="majorHAnsi" w:hAnsiTheme="majorHAnsi" w:cstheme="majorHAnsi"/>
          <w:sz w:val="22"/>
          <w:szCs w:val="22"/>
          <w:lang w:val="es-GT"/>
        </w:rPr>
        <w:t xml:space="preserve"> los renglones indicados.</w:t>
      </w:r>
    </w:p>
    <w:p w14:paraId="78AAE321" w14:textId="79A5FCAB" w:rsidR="005C7EBD" w:rsidRDefault="005C7EBD" w:rsidP="005C7EBD">
      <w:pPr>
        <w:spacing w:line="360" w:lineRule="auto"/>
        <w:ind w:left="720"/>
        <w:jc w:val="both"/>
        <w:rPr>
          <w:rFonts w:asciiTheme="majorHAnsi" w:hAnsiTheme="majorHAnsi" w:cstheme="majorHAnsi"/>
          <w:sz w:val="22"/>
          <w:szCs w:val="22"/>
          <w:lang w:val="es-GT"/>
        </w:rPr>
      </w:pPr>
    </w:p>
    <w:p w14:paraId="6FDB23B4" w14:textId="77777777" w:rsidR="005314D9" w:rsidRPr="005C7EBD" w:rsidRDefault="005314D9" w:rsidP="005C7EBD">
      <w:pPr>
        <w:spacing w:line="360" w:lineRule="auto"/>
        <w:ind w:left="720"/>
        <w:jc w:val="both"/>
        <w:rPr>
          <w:rFonts w:asciiTheme="majorHAnsi" w:hAnsiTheme="majorHAnsi" w:cstheme="majorHAnsi"/>
          <w:sz w:val="22"/>
          <w:szCs w:val="22"/>
          <w:lang w:val="es-GT"/>
        </w:rPr>
      </w:pPr>
    </w:p>
    <w:p w14:paraId="4ED86D76" w14:textId="2E7E004D" w:rsidR="005C7EBD" w:rsidRPr="008F3245" w:rsidRDefault="005C7EBD" w:rsidP="00B46AA8">
      <w:pPr>
        <w:numPr>
          <w:ilvl w:val="0"/>
          <w:numId w:val="2"/>
        </w:numPr>
        <w:spacing w:line="360" w:lineRule="auto"/>
        <w:ind w:left="708"/>
        <w:jc w:val="both"/>
        <w:rPr>
          <w:rFonts w:asciiTheme="majorHAnsi" w:hAnsiTheme="majorHAnsi" w:cstheme="majorHAnsi"/>
          <w:sz w:val="22"/>
          <w:szCs w:val="22"/>
          <w:lang w:val="es-GT"/>
        </w:rPr>
      </w:pPr>
      <w:r w:rsidRPr="008F3245">
        <w:rPr>
          <w:rFonts w:asciiTheme="majorHAnsi" w:hAnsiTheme="majorHAnsi" w:cstheme="majorHAnsi"/>
          <w:b/>
          <w:i/>
          <w:sz w:val="22"/>
          <w:szCs w:val="22"/>
          <w:lang w:val="es-GT"/>
        </w:rPr>
        <w:t>Número de niños con seguro médico escolar</w:t>
      </w:r>
      <w:r w:rsidRPr="008F3245">
        <w:rPr>
          <w:rFonts w:asciiTheme="majorHAnsi" w:hAnsiTheme="majorHAnsi" w:cstheme="majorHAnsi"/>
          <w:i/>
          <w:sz w:val="22"/>
          <w:szCs w:val="22"/>
          <w:lang w:val="es-GT"/>
        </w:rPr>
        <w:t xml:space="preserve">. </w:t>
      </w:r>
      <w:r w:rsidRPr="008F3245">
        <w:rPr>
          <w:rFonts w:asciiTheme="majorHAnsi" w:hAnsiTheme="majorHAnsi" w:cstheme="majorHAnsi"/>
          <w:sz w:val="22"/>
          <w:szCs w:val="22"/>
          <w:lang w:val="es-GT"/>
        </w:rPr>
        <w:t xml:space="preserve">La cuantificación de este </w:t>
      </w:r>
      <w:r w:rsidR="00440B04" w:rsidRPr="008F3245">
        <w:rPr>
          <w:rFonts w:asciiTheme="majorHAnsi" w:hAnsiTheme="majorHAnsi" w:cstheme="majorHAnsi"/>
          <w:sz w:val="22"/>
          <w:szCs w:val="22"/>
          <w:lang w:val="es-GT"/>
        </w:rPr>
        <w:t>indicador</w:t>
      </w:r>
      <w:r w:rsidRPr="008F3245">
        <w:rPr>
          <w:rFonts w:asciiTheme="majorHAnsi" w:hAnsiTheme="majorHAnsi" w:cstheme="majorHAnsi"/>
          <w:sz w:val="22"/>
          <w:szCs w:val="22"/>
          <w:lang w:val="es-GT"/>
        </w:rPr>
        <w:t xml:space="preserve"> se toma de los productos y subproductos de: </w:t>
      </w:r>
      <w:r w:rsidRPr="008F3245">
        <w:rPr>
          <w:rFonts w:asciiTheme="majorHAnsi" w:hAnsiTheme="majorHAnsi" w:cstheme="majorHAnsi"/>
          <w:b/>
          <w:sz w:val="22"/>
          <w:szCs w:val="22"/>
          <w:lang w:val="es-GT"/>
        </w:rPr>
        <w:t>Estudiantes</w:t>
      </w:r>
      <w:r w:rsidRPr="008F3245">
        <w:rPr>
          <w:rFonts w:asciiTheme="majorHAnsi" w:hAnsiTheme="majorHAnsi" w:cstheme="majorHAnsi"/>
          <w:b/>
          <w:i/>
          <w:sz w:val="22"/>
          <w:szCs w:val="22"/>
          <w:lang w:val="es-GT"/>
        </w:rPr>
        <w:t xml:space="preserve"> del Nivel Preprimaria con cobertura del seguro médico escolar y Estudiantes del Nivel Primaria con cobertura del seguro médico escolar. </w:t>
      </w:r>
      <w:r w:rsidRPr="008F3245">
        <w:rPr>
          <w:rFonts w:asciiTheme="majorHAnsi" w:hAnsiTheme="majorHAnsi" w:cstheme="majorHAnsi"/>
          <w:sz w:val="22"/>
          <w:szCs w:val="22"/>
          <w:lang w:val="es-GT"/>
        </w:rPr>
        <w:t xml:space="preserve"> La fuente de información para reportar el avance de este indicador se toma de reportes del Sistema de Contabilidad Integrada -Sicoin-.</w:t>
      </w:r>
    </w:p>
    <w:p w14:paraId="5FEC2719" w14:textId="77777777" w:rsidR="005C7EBD" w:rsidRPr="005C7EBD" w:rsidRDefault="005C7EBD" w:rsidP="005C7EBD">
      <w:pPr>
        <w:spacing w:line="360" w:lineRule="auto"/>
        <w:jc w:val="both"/>
        <w:rPr>
          <w:rFonts w:asciiTheme="majorHAnsi" w:hAnsiTheme="majorHAnsi" w:cstheme="majorHAnsi"/>
          <w:sz w:val="22"/>
          <w:szCs w:val="22"/>
          <w:lang w:val="es-GT"/>
        </w:rPr>
      </w:pPr>
    </w:p>
    <w:p w14:paraId="01A4E51E" w14:textId="722A0CE3" w:rsidR="005C7EBD" w:rsidRPr="005C7EBD" w:rsidRDefault="005C7EBD" w:rsidP="005C7EBD">
      <w:pPr>
        <w:numPr>
          <w:ilvl w:val="0"/>
          <w:numId w:val="2"/>
        </w:numPr>
        <w:spacing w:line="360" w:lineRule="auto"/>
        <w:jc w:val="both"/>
        <w:rPr>
          <w:rFonts w:asciiTheme="majorHAnsi" w:eastAsia="Times New Roman" w:hAnsiTheme="majorHAnsi" w:cstheme="majorHAnsi"/>
          <w:color w:val="000000"/>
          <w:sz w:val="22"/>
          <w:szCs w:val="22"/>
          <w:lang w:val="es-GT" w:eastAsia="es-GT"/>
        </w:rPr>
      </w:pPr>
      <w:r w:rsidRPr="005C7EBD">
        <w:rPr>
          <w:rFonts w:asciiTheme="majorHAnsi" w:hAnsiTheme="majorHAnsi" w:cstheme="majorHAnsi"/>
          <w:b/>
          <w:i/>
          <w:sz w:val="22"/>
          <w:szCs w:val="22"/>
          <w:lang w:val="es-GT"/>
        </w:rPr>
        <w:t>Inversión en servicios de alimentación escolar</w:t>
      </w:r>
      <w:r w:rsidRPr="005C7EBD">
        <w:rPr>
          <w:rFonts w:asciiTheme="majorHAnsi" w:hAnsiTheme="majorHAnsi" w:cstheme="majorHAnsi"/>
          <w:b/>
          <w:sz w:val="22"/>
          <w:szCs w:val="22"/>
          <w:lang w:val="es-GT"/>
        </w:rPr>
        <w:t xml:space="preserve">. </w:t>
      </w:r>
      <w:r w:rsidRPr="005C7EBD">
        <w:rPr>
          <w:rFonts w:asciiTheme="majorHAnsi" w:eastAsia="Times New Roman" w:hAnsiTheme="majorHAnsi" w:cstheme="majorHAnsi"/>
          <w:color w:val="000000"/>
          <w:sz w:val="22"/>
          <w:szCs w:val="22"/>
          <w:lang w:val="es-GT" w:eastAsia="es-GT"/>
        </w:rPr>
        <w:t>El indicador Inversión en</w:t>
      </w:r>
      <w:r w:rsidRPr="005C7EBD">
        <w:rPr>
          <w:rFonts w:asciiTheme="majorHAnsi" w:eastAsia="Times New Roman" w:hAnsiTheme="majorHAnsi" w:cstheme="majorHAnsi"/>
          <w:b/>
          <w:color w:val="000000"/>
          <w:sz w:val="22"/>
          <w:szCs w:val="22"/>
          <w:lang w:val="es-GT" w:eastAsia="es-GT"/>
        </w:rPr>
        <w:t xml:space="preserve"> </w:t>
      </w:r>
      <w:r w:rsidRPr="005C7EBD">
        <w:rPr>
          <w:rFonts w:asciiTheme="majorHAnsi" w:eastAsia="Times New Roman" w:hAnsiTheme="majorHAnsi" w:cstheme="majorHAnsi"/>
          <w:color w:val="000000"/>
          <w:sz w:val="22"/>
          <w:szCs w:val="22"/>
          <w:lang w:val="es-GT" w:eastAsia="es-GT"/>
        </w:rPr>
        <w:t xml:space="preserve">servicios de alimentación escolar; mide la cantidad de recursos presupuestarios que se asignan al Programa de Alimentación Escolar. La información para reportar el avance del indicador se toma de reportes del Sistema de Contabilidad Integrada -Sicoin-, en este caso de los productos y subproductos </w:t>
      </w:r>
      <w:r w:rsidRPr="005C7EBD">
        <w:rPr>
          <w:rFonts w:asciiTheme="majorHAnsi" w:eastAsia="Times New Roman" w:hAnsiTheme="majorHAnsi" w:cstheme="majorHAnsi"/>
          <w:b/>
          <w:i/>
          <w:color w:val="000000"/>
          <w:sz w:val="22"/>
          <w:szCs w:val="22"/>
          <w:lang w:val="es-GT" w:eastAsia="es-GT"/>
        </w:rPr>
        <w:t>Niños y niñas del nivel preprimario atendidos con alimentación escolar</w:t>
      </w:r>
      <w:r w:rsidRPr="005C7EBD">
        <w:rPr>
          <w:rFonts w:asciiTheme="majorHAnsi" w:eastAsia="Times New Roman" w:hAnsiTheme="majorHAnsi" w:cstheme="majorHAnsi"/>
          <w:i/>
          <w:color w:val="000000"/>
          <w:sz w:val="22"/>
          <w:szCs w:val="22"/>
          <w:lang w:val="es-GT" w:eastAsia="es-GT"/>
        </w:rPr>
        <w:t xml:space="preserve"> y </w:t>
      </w:r>
      <w:r w:rsidRPr="005C7EBD">
        <w:rPr>
          <w:rFonts w:asciiTheme="majorHAnsi" w:eastAsia="Times New Roman" w:hAnsiTheme="majorHAnsi" w:cstheme="majorHAnsi"/>
          <w:b/>
          <w:color w:val="000000"/>
          <w:sz w:val="22"/>
          <w:szCs w:val="22"/>
          <w:lang w:val="es-GT" w:eastAsia="es-GT"/>
        </w:rPr>
        <w:t>Niños y niñas del nivel primario atendidos con alimentación escolar</w:t>
      </w:r>
      <w:r w:rsidRPr="005C7EBD">
        <w:rPr>
          <w:rFonts w:asciiTheme="majorHAnsi" w:eastAsia="Times New Roman" w:hAnsiTheme="majorHAnsi" w:cstheme="majorHAnsi"/>
          <w:color w:val="000000"/>
          <w:sz w:val="22"/>
          <w:szCs w:val="22"/>
          <w:lang w:val="es-GT" w:eastAsia="es-GT"/>
        </w:rPr>
        <w:t xml:space="preserve"> en lo que corresponde a la ejecución financiera de los meses del </w:t>
      </w:r>
      <w:r w:rsidR="006C45C5">
        <w:rPr>
          <w:rFonts w:asciiTheme="majorHAnsi" w:eastAsia="Times New Roman" w:hAnsiTheme="majorHAnsi" w:cstheme="majorHAnsi"/>
          <w:color w:val="000000"/>
          <w:sz w:val="22"/>
          <w:szCs w:val="22"/>
          <w:lang w:val="es-GT" w:eastAsia="es-GT"/>
        </w:rPr>
        <w:t xml:space="preserve">tercer </w:t>
      </w:r>
      <w:r w:rsidRPr="005C7EBD">
        <w:rPr>
          <w:rFonts w:asciiTheme="majorHAnsi" w:eastAsia="Times New Roman" w:hAnsiTheme="majorHAnsi" w:cstheme="majorHAnsi"/>
          <w:color w:val="000000"/>
          <w:sz w:val="22"/>
          <w:szCs w:val="22"/>
          <w:lang w:val="es-GT" w:eastAsia="es-GT"/>
        </w:rPr>
        <w:t xml:space="preserve">cuatrimestre. </w:t>
      </w:r>
    </w:p>
    <w:p w14:paraId="2DF66D1E" w14:textId="77777777" w:rsidR="005C7EBD" w:rsidRPr="005C7EBD" w:rsidRDefault="005C7EBD" w:rsidP="005C7EBD">
      <w:pPr>
        <w:spacing w:line="360" w:lineRule="auto"/>
        <w:jc w:val="both"/>
        <w:rPr>
          <w:rFonts w:asciiTheme="majorHAnsi" w:hAnsiTheme="majorHAnsi" w:cstheme="majorHAnsi"/>
          <w:sz w:val="22"/>
          <w:szCs w:val="22"/>
          <w:lang w:val="es-GT"/>
        </w:rPr>
      </w:pPr>
    </w:p>
    <w:p w14:paraId="0BC0A62B" w14:textId="2DF60FE9" w:rsidR="004F2D9D" w:rsidRDefault="005C7EBD" w:rsidP="004F2D9D">
      <w:pPr>
        <w:autoSpaceDE w:val="0"/>
        <w:autoSpaceDN w:val="0"/>
        <w:adjustRightInd w:val="0"/>
        <w:spacing w:line="360" w:lineRule="auto"/>
        <w:ind w:left="708"/>
        <w:jc w:val="both"/>
        <w:rPr>
          <w:rFonts w:asciiTheme="majorHAnsi" w:hAnsiTheme="majorHAnsi" w:cstheme="majorHAnsi"/>
          <w:sz w:val="22"/>
          <w:szCs w:val="22"/>
          <w:lang w:eastAsia="es-GT"/>
        </w:rPr>
      </w:pPr>
      <w:r w:rsidRPr="005C7EBD">
        <w:rPr>
          <w:rFonts w:asciiTheme="majorHAnsi" w:hAnsiTheme="majorHAnsi" w:cstheme="majorHAnsi"/>
          <w:b/>
          <w:i/>
          <w:sz w:val="22"/>
          <w:szCs w:val="22"/>
          <w:lang w:val="es-GT"/>
        </w:rPr>
        <w:t>Número de estudiantes del nivel básico y diversificado con becas escolares</w:t>
      </w:r>
      <w:r w:rsidRPr="005C7EBD">
        <w:rPr>
          <w:rFonts w:asciiTheme="majorHAnsi" w:hAnsiTheme="majorHAnsi" w:cstheme="majorHAnsi"/>
          <w:i/>
          <w:sz w:val="22"/>
          <w:szCs w:val="22"/>
          <w:lang w:val="es-GT"/>
        </w:rPr>
        <w:t xml:space="preserve">. </w:t>
      </w:r>
      <w:r w:rsidRPr="005C7EBD">
        <w:rPr>
          <w:rFonts w:asciiTheme="majorHAnsi" w:hAnsiTheme="majorHAnsi" w:cstheme="majorHAnsi"/>
          <w:sz w:val="22"/>
          <w:szCs w:val="22"/>
          <w:lang w:val="es-GT"/>
        </w:rPr>
        <w:t xml:space="preserve">El indicador </w:t>
      </w:r>
      <w:bookmarkStart w:id="2" w:name="_Hlk49153247"/>
      <w:r w:rsidRPr="005C7EBD">
        <w:rPr>
          <w:rFonts w:asciiTheme="majorHAnsi" w:hAnsiTheme="majorHAnsi" w:cstheme="majorHAnsi"/>
          <w:sz w:val="22"/>
          <w:szCs w:val="22"/>
          <w:lang w:val="es-GT"/>
        </w:rPr>
        <w:t>número de estudiantes del ciclo básico y diversificado con becas</w:t>
      </w:r>
      <w:bookmarkEnd w:id="2"/>
      <w:r w:rsidRPr="005C7EBD">
        <w:rPr>
          <w:rFonts w:asciiTheme="majorHAnsi" w:hAnsiTheme="majorHAnsi" w:cstheme="majorHAnsi"/>
          <w:sz w:val="22"/>
          <w:szCs w:val="22"/>
          <w:lang w:val="es-GT"/>
        </w:rPr>
        <w:t xml:space="preserve"> escolares; mide la cantidad de becas que se otorgan a los estudiantes del ciclo básico y ciclo diversificado en el período. La fuente de información para reportar el avance se toma del Sistema de Contabilidad Integrada -Sicoin-, del producto </w:t>
      </w:r>
      <w:r w:rsidRPr="005C7EBD">
        <w:rPr>
          <w:rFonts w:asciiTheme="majorHAnsi" w:hAnsiTheme="majorHAnsi" w:cstheme="majorHAnsi"/>
          <w:b/>
          <w:sz w:val="22"/>
          <w:szCs w:val="22"/>
          <w:lang w:val="es-GT"/>
        </w:rPr>
        <w:t>Alumnas y alumnos del</w:t>
      </w:r>
      <w:r w:rsidRPr="005C7EBD">
        <w:rPr>
          <w:rFonts w:asciiTheme="majorHAnsi" w:hAnsiTheme="majorHAnsi" w:cstheme="majorHAnsi"/>
          <w:sz w:val="22"/>
          <w:szCs w:val="22"/>
          <w:lang w:val="es-GT"/>
        </w:rPr>
        <w:t xml:space="preserve"> </w:t>
      </w:r>
      <w:r w:rsidRPr="005C7EBD">
        <w:rPr>
          <w:rFonts w:asciiTheme="majorHAnsi" w:hAnsiTheme="majorHAnsi" w:cstheme="majorHAnsi"/>
          <w:b/>
          <w:sz w:val="22"/>
          <w:szCs w:val="22"/>
          <w:lang w:val="es-GT"/>
        </w:rPr>
        <w:t>Ciclo Básico beneficiados con bolsas de estudio</w:t>
      </w:r>
      <w:r w:rsidRPr="005C7EBD">
        <w:rPr>
          <w:rFonts w:asciiTheme="majorHAnsi" w:hAnsiTheme="majorHAnsi" w:cstheme="majorHAnsi"/>
          <w:sz w:val="22"/>
          <w:szCs w:val="22"/>
          <w:lang w:val="es-GT"/>
        </w:rPr>
        <w:t xml:space="preserve"> y del Producto </w:t>
      </w:r>
      <w:r w:rsidRPr="005C7EBD">
        <w:rPr>
          <w:rFonts w:asciiTheme="majorHAnsi" w:hAnsiTheme="majorHAnsi" w:cstheme="majorHAnsi"/>
          <w:b/>
          <w:sz w:val="22"/>
          <w:szCs w:val="22"/>
          <w:lang w:val="es-GT"/>
        </w:rPr>
        <w:t>Alumnas y alumnos del nivel medio Ciclo Diversificado beneficiados con Bolsas de estudio y Becas Escolares</w:t>
      </w:r>
      <w:r w:rsidR="00CA7514">
        <w:rPr>
          <w:rFonts w:asciiTheme="majorHAnsi" w:hAnsiTheme="majorHAnsi" w:cstheme="majorHAnsi"/>
          <w:sz w:val="22"/>
          <w:szCs w:val="22"/>
          <w:lang w:val="es-GT"/>
        </w:rPr>
        <w:t>;</w:t>
      </w:r>
      <w:r w:rsidR="009C7071">
        <w:rPr>
          <w:rFonts w:asciiTheme="majorHAnsi" w:hAnsiTheme="majorHAnsi" w:cstheme="majorHAnsi"/>
          <w:sz w:val="22"/>
          <w:szCs w:val="22"/>
          <w:lang w:val="es-GT"/>
        </w:rPr>
        <w:t xml:space="preserve"> es </w:t>
      </w:r>
      <w:r w:rsidR="009C7071" w:rsidRPr="00B4255D">
        <w:rPr>
          <w:rFonts w:asciiTheme="majorHAnsi" w:hAnsiTheme="majorHAnsi" w:cstheme="majorHAnsi"/>
          <w:i/>
          <w:iCs/>
          <w:sz w:val="22"/>
          <w:szCs w:val="22"/>
          <w:u w:val="single"/>
          <w:lang w:val="es-GT"/>
        </w:rPr>
        <w:t>importante aclarar que en e</w:t>
      </w:r>
      <w:r w:rsidR="00BE2194">
        <w:rPr>
          <w:rFonts w:asciiTheme="majorHAnsi" w:hAnsiTheme="majorHAnsi" w:cstheme="majorHAnsi"/>
          <w:i/>
          <w:iCs/>
          <w:sz w:val="22"/>
          <w:szCs w:val="22"/>
          <w:u w:val="single"/>
          <w:lang w:val="es-GT"/>
        </w:rPr>
        <w:t>l</w:t>
      </w:r>
      <w:r w:rsidR="009C7071" w:rsidRPr="00B4255D">
        <w:rPr>
          <w:rFonts w:asciiTheme="majorHAnsi" w:hAnsiTheme="majorHAnsi" w:cstheme="majorHAnsi"/>
          <w:i/>
          <w:iCs/>
          <w:sz w:val="22"/>
          <w:szCs w:val="22"/>
          <w:u w:val="single"/>
          <w:lang w:val="es-GT"/>
        </w:rPr>
        <w:t xml:space="preserve"> segundo cuatrimestre del </w:t>
      </w:r>
      <w:r w:rsidR="00F27B31" w:rsidRPr="00B4255D">
        <w:rPr>
          <w:rFonts w:asciiTheme="majorHAnsi" w:hAnsiTheme="majorHAnsi" w:cstheme="majorHAnsi"/>
          <w:i/>
          <w:iCs/>
          <w:sz w:val="22"/>
          <w:szCs w:val="22"/>
          <w:u w:val="single"/>
          <w:lang w:val="es-GT"/>
        </w:rPr>
        <w:t>año 2022 se incluye</w:t>
      </w:r>
      <w:r w:rsidR="00CA7514">
        <w:rPr>
          <w:rFonts w:asciiTheme="majorHAnsi" w:hAnsiTheme="majorHAnsi" w:cstheme="majorHAnsi"/>
          <w:sz w:val="22"/>
          <w:szCs w:val="22"/>
          <w:lang w:val="es-GT"/>
        </w:rPr>
        <w:t xml:space="preserve"> </w:t>
      </w:r>
      <w:r w:rsidR="00120976">
        <w:rPr>
          <w:rFonts w:asciiTheme="majorHAnsi" w:hAnsiTheme="majorHAnsi" w:cstheme="majorHAnsi"/>
          <w:sz w:val="22"/>
          <w:szCs w:val="22"/>
          <w:lang w:val="es-GT"/>
        </w:rPr>
        <w:t>el Subproducto</w:t>
      </w:r>
      <w:r w:rsidRPr="005C7EBD">
        <w:rPr>
          <w:rFonts w:asciiTheme="majorHAnsi" w:hAnsiTheme="majorHAnsi" w:cstheme="majorHAnsi"/>
          <w:sz w:val="22"/>
          <w:szCs w:val="22"/>
          <w:lang w:val="es-GT"/>
        </w:rPr>
        <w:t xml:space="preserve"> </w:t>
      </w:r>
      <w:r w:rsidR="00120976" w:rsidRPr="00DB161F">
        <w:rPr>
          <w:rFonts w:asciiTheme="majorHAnsi" w:hAnsiTheme="majorHAnsi" w:cstheme="majorHAnsi"/>
          <w:b/>
          <w:bCs/>
          <w:sz w:val="22"/>
          <w:szCs w:val="22"/>
          <w:lang w:val="es-GT"/>
        </w:rPr>
        <w:t>“</w:t>
      </w:r>
      <w:r w:rsidR="008B645D" w:rsidRPr="00DB161F">
        <w:rPr>
          <w:rFonts w:asciiTheme="majorHAnsi" w:hAnsiTheme="majorHAnsi" w:cstheme="majorHAnsi"/>
          <w:b/>
          <w:bCs/>
          <w:sz w:val="22"/>
          <w:szCs w:val="22"/>
          <w:lang w:val="es-GT"/>
        </w:rPr>
        <w:t xml:space="preserve">En </w:t>
      </w:r>
      <w:r w:rsidR="004F2D9D" w:rsidRPr="00DB161F">
        <w:rPr>
          <w:rFonts w:asciiTheme="majorHAnsi" w:hAnsiTheme="majorHAnsi" w:cstheme="majorHAnsi"/>
          <w:b/>
          <w:bCs/>
          <w:sz w:val="22"/>
          <w:szCs w:val="22"/>
          <w:lang w:eastAsia="es-GT"/>
        </w:rPr>
        <w:t>Alumnas y alumnos del nivel medio Ciclo Diversificado con becas escolares para el aprendizaje de idioma extranjero</w:t>
      </w:r>
      <w:r w:rsidR="00DB161F" w:rsidRPr="00DB161F">
        <w:rPr>
          <w:rFonts w:asciiTheme="majorHAnsi" w:hAnsiTheme="majorHAnsi" w:cstheme="majorHAnsi"/>
          <w:b/>
          <w:bCs/>
          <w:sz w:val="22"/>
          <w:szCs w:val="22"/>
          <w:lang w:eastAsia="es-GT"/>
        </w:rPr>
        <w:t>”.</w:t>
      </w:r>
    </w:p>
    <w:p w14:paraId="61C4DABC" w14:textId="78B36588" w:rsidR="005C7EBD" w:rsidRPr="00F318D1" w:rsidRDefault="005C7EBD" w:rsidP="00DB161F">
      <w:pPr>
        <w:spacing w:line="360" w:lineRule="auto"/>
        <w:ind w:left="720"/>
        <w:jc w:val="both"/>
        <w:rPr>
          <w:rFonts w:asciiTheme="majorHAnsi" w:hAnsiTheme="majorHAnsi" w:cstheme="majorHAnsi"/>
          <w:color w:val="FF0000"/>
          <w:sz w:val="22"/>
          <w:szCs w:val="22"/>
          <w:lang w:val="es-GT" w:eastAsia="es-GT"/>
        </w:rPr>
      </w:pPr>
    </w:p>
    <w:p w14:paraId="58084489" w14:textId="4282C4DE" w:rsidR="005C7EBD" w:rsidRDefault="00024355" w:rsidP="005C7EBD">
      <w:pPr>
        <w:autoSpaceDE w:val="0"/>
        <w:autoSpaceDN w:val="0"/>
        <w:adjustRightInd w:val="0"/>
        <w:spacing w:line="360" w:lineRule="auto"/>
        <w:ind w:left="708"/>
        <w:jc w:val="both"/>
        <w:rPr>
          <w:rFonts w:asciiTheme="majorHAnsi" w:hAnsiTheme="majorHAnsi" w:cstheme="majorHAnsi"/>
          <w:sz w:val="22"/>
          <w:szCs w:val="22"/>
          <w:lang w:eastAsia="es-GT"/>
        </w:rPr>
      </w:pPr>
      <w:r>
        <w:rPr>
          <w:rFonts w:asciiTheme="majorHAnsi" w:hAnsiTheme="majorHAnsi" w:cstheme="majorHAnsi"/>
          <w:sz w:val="22"/>
          <w:szCs w:val="22"/>
          <w:lang w:eastAsia="es-GT"/>
        </w:rPr>
        <w:t>En lo que respecta</w:t>
      </w:r>
      <w:r w:rsidR="00290F95">
        <w:rPr>
          <w:rFonts w:asciiTheme="majorHAnsi" w:hAnsiTheme="majorHAnsi" w:cstheme="majorHAnsi"/>
          <w:sz w:val="22"/>
          <w:szCs w:val="22"/>
          <w:lang w:eastAsia="es-GT"/>
        </w:rPr>
        <w:t xml:space="preserve"> a las </w:t>
      </w:r>
      <w:r w:rsidR="005C7EBD" w:rsidRPr="005C7EBD">
        <w:rPr>
          <w:rFonts w:asciiTheme="majorHAnsi" w:hAnsiTheme="majorHAnsi" w:cstheme="majorHAnsi"/>
          <w:sz w:val="22"/>
          <w:szCs w:val="22"/>
          <w:lang w:eastAsia="es-GT"/>
        </w:rPr>
        <w:t xml:space="preserve">becas de alimentos y bolsas de </w:t>
      </w:r>
      <w:r w:rsidR="005C7EBD" w:rsidRPr="00AB5CE8">
        <w:rPr>
          <w:rFonts w:asciiTheme="majorHAnsi" w:hAnsiTheme="majorHAnsi" w:cstheme="majorHAnsi"/>
          <w:sz w:val="22"/>
          <w:szCs w:val="22"/>
          <w:lang w:eastAsia="es-GT"/>
        </w:rPr>
        <w:t>estudio</w:t>
      </w:r>
      <w:r w:rsidR="00180AE2">
        <w:rPr>
          <w:rFonts w:asciiTheme="majorHAnsi" w:hAnsiTheme="majorHAnsi" w:cstheme="majorHAnsi"/>
          <w:sz w:val="22"/>
          <w:szCs w:val="22"/>
          <w:lang w:eastAsia="es-GT"/>
        </w:rPr>
        <w:t xml:space="preserve">, </w:t>
      </w:r>
      <w:r w:rsidR="00204EA1">
        <w:rPr>
          <w:rFonts w:asciiTheme="majorHAnsi" w:hAnsiTheme="majorHAnsi" w:cstheme="majorHAnsi"/>
          <w:sz w:val="22"/>
          <w:szCs w:val="22"/>
          <w:lang w:eastAsia="es-GT"/>
        </w:rPr>
        <w:t>estas</w:t>
      </w:r>
      <w:r w:rsidR="00805126">
        <w:rPr>
          <w:rFonts w:asciiTheme="majorHAnsi" w:hAnsiTheme="majorHAnsi" w:cstheme="majorHAnsi"/>
          <w:sz w:val="22"/>
          <w:szCs w:val="22"/>
          <w:lang w:eastAsia="es-GT"/>
        </w:rPr>
        <w:t xml:space="preserve"> se otorgan a los estudiantes</w:t>
      </w:r>
      <w:r w:rsidR="00F311B5">
        <w:rPr>
          <w:rFonts w:asciiTheme="majorHAnsi" w:hAnsiTheme="majorHAnsi" w:cstheme="majorHAnsi"/>
          <w:sz w:val="22"/>
          <w:szCs w:val="22"/>
          <w:lang w:eastAsia="es-GT"/>
        </w:rPr>
        <w:t xml:space="preserve"> desde el mes de febrero a octubre</w:t>
      </w:r>
      <w:r w:rsidR="009169EE">
        <w:rPr>
          <w:rFonts w:asciiTheme="majorHAnsi" w:hAnsiTheme="majorHAnsi" w:cstheme="majorHAnsi"/>
          <w:sz w:val="22"/>
          <w:szCs w:val="22"/>
          <w:lang w:eastAsia="es-GT"/>
        </w:rPr>
        <w:t xml:space="preserve">, </w:t>
      </w:r>
      <w:r w:rsidR="00246A27">
        <w:rPr>
          <w:rFonts w:asciiTheme="majorHAnsi" w:hAnsiTheme="majorHAnsi" w:cstheme="majorHAnsi"/>
          <w:sz w:val="22"/>
          <w:szCs w:val="22"/>
          <w:lang w:eastAsia="es-GT"/>
        </w:rPr>
        <w:t>la ejecución presupuestaria</w:t>
      </w:r>
      <w:r w:rsidR="005A5806">
        <w:rPr>
          <w:rFonts w:asciiTheme="majorHAnsi" w:hAnsiTheme="majorHAnsi" w:cstheme="majorHAnsi"/>
          <w:sz w:val="22"/>
          <w:szCs w:val="22"/>
          <w:lang w:eastAsia="es-GT"/>
        </w:rPr>
        <w:t xml:space="preserve"> es la que se realiza durante el año</w:t>
      </w:r>
      <w:r w:rsidR="00AB5CE8" w:rsidRPr="00AB5CE8">
        <w:rPr>
          <w:rFonts w:asciiTheme="majorHAnsi" w:hAnsiTheme="majorHAnsi" w:cstheme="majorHAnsi"/>
          <w:sz w:val="22"/>
          <w:szCs w:val="22"/>
          <w:lang w:eastAsia="es-GT"/>
        </w:rPr>
        <w:t>.</w:t>
      </w:r>
    </w:p>
    <w:p w14:paraId="4CEAF095" w14:textId="6C1C6B14" w:rsidR="00DD3135" w:rsidRDefault="00DD3135" w:rsidP="005C7EBD">
      <w:pPr>
        <w:autoSpaceDE w:val="0"/>
        <w:autoSpaceDN w:val="0"/>
        <w:adjustRightInd w:val="0"/>
        <w:spacing w:line="360" w:lineRule="auto"/>
        <w:ind w:left="708"/>
        <w:jc w:val="both"/>
        <w:rPr>
          <w:rFonts w:asciiTheme="majorHAnsi" w:hAnsiTheme="majorHAnsi" w:cstheme="majorHAnsi"/>
          <w:sz w:val="22"/>
          <w:szCs w:val="22"/>
          <w:lang w:eastAsia="es-GT"/>
        </w:rPr>
      </w:pPr>
    </w:p>
    <w:p w14:paraId="7C03BAC9" w14:textId="235E5FC5" w:rsidR="005C7EBD" w:rsidRPr="00984EB5" w:rsidRDefault="005C7EBD" w:rsidP="00CC6D31">
      <w:pPr>
        <w:numPr>
          <w:ilvl w:val="0"/>
          <w:numId w:val="2"/>
        </w:numPr>
        <w:autoSpaceDE w:val="0"/>
        <w:autoSpaceDN w:val="0"/>
        <w:adjustRightInd w:val="0"/>
        <w:spacing w:line="360" w:lineRule="auto"/>
        <w:contextualSpacing/>
        <w:jc w:val="both"/>
        <w:rPr>
          <w:rFonts w:asciiTheme="majorHAnsi" w:eastAsiaTheme="minorEastAsia" w:hAnsiTheme="majorHAnsi" w:cstheme="majorHAnsi"/>
          <w:sz w:val="22"/>
          <w:szCs w:val="22"/>
          <w:lang w:val="es-GT" w:eastAsia="es-GT"/>
        </w:rPr>
      </w:pPr>
      <w:r w:rsidRPr="005530DC">
        <w:rPr>
          <w:rFonts w:asciiTheme="majorHAnsi" w:eastAsiaTheme="minorEastAsia" w:hAnsiTheme="majorHAnsi" w:cstheme="majorHAnsi"/>
          <w:b/>
          <w:i/>
          <w:color w:val="000000"/>
          <w:sz w:val="22"/>
          <w:szCs w:val="22"/>
          <w:lang w:val="es-GT" w:eastAsia="es-GT"/>
        </w:rPr>
        <w:lastRenderedPageBreak/>
        <w:t>Número de maestros egresados de la universidad por medio del Programa Académico de Desarrollo Profesional Docente</w:t>
      </w:r>
      <w:r w:rsidRPr="00984EB5">
        <w:rPr>
          <w:rFonts w:asciiTheme="majorHAnsi" w:eastAsiaTheme="minorEastAsia" w:hAnsiTheme="majorHAnsi" w:cstheme="majorHAnsi"/>
          <w:b/>
          <w:sz w:val="22"/>
          <w:szCs w:val="22"/>
          <w:lang w:val="es-GT" w:eastAsia="es-GT"/>
        </w:rPr>
        <w:t xml:space="preserve">. </w:t>
      </w:r>
      <w:r w:rsidRPr="00984EB5">
        <w:rPr>
          <w:rFonts w:asciiTheme="majorHAnsi" w:eastAsiaTheme="minorEastAsia" w:hAnsiTheme="majorHAnsi" w:cstheme="majorHAnsi"/>
          <w:sz w:val="22"/>
          <w:szCs w:val="22"/>
          <w:lang w:val="es-GT" w:eastAsia="es-GT"/>
        </w:rPr>
        <w:t xml:space="preserve">El indicador Número de maestros egresados de la universidad por medio del Programa Académico de Desarrollo Profesional Docente; mide la cantidad de maestros egresados </w:t>
      </w:r>
      <w:r w:rsidRPr="00984EB5">
        <w:rPr>
          <w:rFonts w:asciiTheme="majorHAnsi" w:eastAsiaTheme="minorEastAsia" w:hAnsiTheme="majorHAnsi" w:cstheme="majorHAnsi"/>
          <w:b/>
          <w:sz w:val="22"/>
          <w:szCs w:val="22"/>
          <w:lang w:val="es-GT" w:eastAsia="es-GT"/>
        </w:rPr>
        <w:t>(graduados)</w:t>
      </w:r>
      <w:r w:rsidRPr="00984EB5">
        <w:rPr>
          <w:rFonts w:asciiTheme="majorHAnsi" w:eastAsiaTheme="minorEastAsia" w:hAnsiTheme="majorHAnsi" w:cstheme="majorHAnsi"/>
          <w:sz w:val="22"/>
          <w:szCs w:val="22"/>
          <w:lang w:val="es-GT" w:eastAsia="es-GT"/>
        </w:rPr>
        <w:t xml:space="preserve"> a nivel de licenciatura de la </w:t>
      </w:r>
      <w:r w:rsidR="00B61D7E" w:rsidRPr="00984EB5">
        <w:rPr>
          <w:rFonts w:asciiTheme="majorHAnsi" w:eastAsiaTheme="minorEastAsia" w:hAnsiTheme="majorHAnsi" w:cstheme="majorHAnsi"/>
          <w:sz w:val="22"/>
          <w:szCs w:val="22"/>
          <w:lang w:val="es-GT" w:eastAsia="es-GT"/>
        </w:rPr>
        <w:t xml:space="preserve">II </w:t>
      </w:r>
      <w:r w:rsidRPr="00984EB5">
        <w:rPr>
          <w:rFonts w:asciiTheme="majorHAnsi" w:eastAsiaTheme="minorEastAsia" w:hAnsiTheme="majorHAnsi" w:cstheme="majorHAnsi"/>
          <w:sz w:val="22"/>
          <w:szCs w:val="22"/>
          <w:lang w:val="es-GT" w:eastAsia="es-GT"/>
        </w:rPr>
        <w:t>cohorte.</w:t>
      </w:r>
    </w:p>
    <w:p w14:paraId="768CDBCF" w14:textId="77777777" w:rsidR="005530DC" w:rsidRPr="00984EB5" w:rsidRDefault="005530DC" w:rsidP="005530DC">
      <w:pPr>
        <w:autoSpaceDE w:val="0"/>
        <w:autoSpaceDN w:val="0"/>
        <w:adjustRightInd w:val="0"/>
        <w:spacing w:line="360" w:lineRule="auto"/>
        <w:ind w:left="720"/>
        <w:contextualSpacing/>
        <w:jc w:val="both"/>
        <w:rPr>
          <w:rFonts w:asciiTheme="majorHAnsi" w:eastAsiaTheme="minorEastAsia" w:hAnsiTheme="majorHAnsi" w:cstheme="majorHAnsi"/>
          <w:sz w:val="22"/>
          <w:szCs w:val="22"/>
          <w:lang w:val="es-GT" w:eastAsia="es-GT"/>
        </w:rPr>
      </w:pPr>
    </w:p>
    <w:p w14:paraId="36219BF1" w14:textId="34A81F4F" w:rsidR="005C7EBD" w:rsidRPr="00984EB5" w:rsidRDefault="005C7EBD" w:rsidP="005C7EBD">
      <w:pPr>
        <w:autoSpaceDE w:val="0"/>
        <w:autoSpaceDN w:val="0"/>
        <w:adjustRightInd w:val="0"/>
        <w:spacing w:line="360" w:lineRule="auto"/>
        <w:ind w:left="708"/>
        <w:jc w:val="both"/>
        <w:rPr>
          <w:rFonts w:asciiTheme="majorHAnsi" w:hAnsiTheme="majorHAnsi" w:cstheme="majorHAnsi"/>
          <w:sz w:val="22"/>
          <w:szCs w:val="22"/>
          <w:lang w:eastAsia="es-GT"/>
        </w:rPr>
      </w:pPr>
      <w:r w:rsidRPr="00984EB5">
        <w:rPr>
          <w:rFonts w:asciiTheme="majorHAnsi" w:hAnsiTheme="majorHAnsi" w:cstheme="majorHAnsi"/>
          <w:sz w:val="22"/>
          <w:szCs w:val="22"/>
          <w:lang w:eastAsia="es-GT"/>
        </w:rPr>
        <w:t xml:space="preserve">Este indicador no reporta información cada mes, derivado que los docentes profesionalizados únicamente pueden egresar de la universidad en el primero o segundo semestre de cada año y por el momento, es un indicador que no reporta información acumulativa. En </w:t>
      </w:r>
      <w:r w:rsidR="0088423E" w:rsidRPr="00984EB5">
        <w:rPr>
          <w:rFonts w:asciiTheme="majorHAnsi" w:hAnsiTheme="majorHAnsi" w:cstheme="majorHAnsi"/>
          <w:sz w:val="22"/>
          <w:szCs w:val="22"/>
          <w:lang w:eastAsia="es-GT"/>
        </w:rPr>
        <w:t xml:space="preserve">año 2021 </w:t>
      </w:r>
      <w:r w:rsidRPr="00984EB5">
        <w:rPr>
          <w:rFonts w:asciiTheme="majorHAnsi" w:hAnsiTheme="majorHAnsi" w:cstheme="majorHAnsi"/>
          <w:sz w:val="22"/>
          <w:szCs w:val="22"/>
          <w:lang w:eastAsia="es-GT"/>
        </w:rPr>
        <w:t xml:space="preserve">comenzó la segunda cohorte y finaliza </w:t>
      </w:r>
      <w:r w:rsidR="005530DC" w:rsidRPr="00984EB5">
        <w:rPr>
          <w:rFonts w:asciiTheme="majorHAnsi" w:hAnsiTheme="majorHAnsi" w:cstheme="majorHAnsi"/>
          <w:sz w:val="22"/>
          <w:szCs w:val="22"/>
          <w:lang w:eastAsia="es-GT"/>
        </w:rPr>
        <w:t xml:space="preserve">en junio del </w:t>
      </w:r>
      <w:r w:rsidRPr="00984EB5">
        <w:rPr>
          <w:rFonts w:asciiTheme="majorHAnsi" w:hAnsiTheme="majorHAnsi" w:cstheme="majorHAnsi"/>
          <w:sz w:val="22"/>
          <w:szCs w:val="22"/>
          <w:lang w:eastAsia="es-GT"/>
        </w:rPr>
        <w:t>año 2023, razón por la cual no se reportan datos en el cuatrimestre.</w:t>
      </w:r>
    </w:p>
    <w:p w14:paraId="42684E2F" w14:textId="77777777" w:rsidR="005C7EBD" w:rsidRPr="005C7EBD" w:rsidRDefault="005C7EBD" w:rsidP="005C7EBD">
      <w:pPr>
        <w:spacing w:line="360" w:lineRule="auto"/>
        <w:jc w:val="both"/>
        <w:rPr>
          <w:rFonts w:asciiTheme="majorHAnsi" w:eastAsia="Times New Roman" w:hAnsiTheme="majorHAnsi" w:cstheme="majorHAnsi"/>
          <w:b/>
          <w:color w:val="000000"/>
          <w:sz w:val="22"/>
          <w:szCs w:val="22"/>
          <w:lang w:val="es-GT" w:eastAsia="es-GT"/>
        </w:rPr>
      </w:pPr>
    </w:p>
    <w:p w14:paraId="368C2E8D" w14:textId="77777777" w:rsidR="005C7EBD" w:rsidRPr="005C7EBD" w:rsidRDefault="005C7EBD" w:rsidP="005C7EBD">
      <w:pPr>
        <w:autoSpaceDE w:val="0"/>
        <w:autoSpaceDN w:val="0"/>
        <w:adjustRightInd w:val="0"/>
        <w:spacing w:line="360" w:lineRule="auto"/>
        <w:rPr>
          <w:rFonts w:asciiTheme="majorHAnsi" w:hAnsiTheme="majorHAnsi" w:cstheme="majorHAnsi"/>
          <w:b/>
        </w:rPr>
      </w:pPr>
      <w:r w:rsidRPr="005C7EBD">
        <w:rPr>
          <w:rFonts w:asciiTheme="majorHAnsi" w:hAnsiTheme="majorHAnsi" w:cstheme="majorHAnsi"/>
          <w:b/>
        </w:rPr>
        <w:t>Matriz de Indicadores para el seguimiento de la Política General de Gobierno 2020-2024.</w:t>
      </w:r>
    </w:p>
    <w:p w14:paraId="3AE2AA05" w14:textId="2CA7A5D8" w:rsidR="005C7EBD" w:rsidRPr="005C7EBD" w:rsidRDefault="005C7EBD" w:rsidP="005C7EBD">
      <w:pPr>
        <w:autoSpaceDE w:val="0"/>
        <w:autoSpaceDN w:val="0"/>
        <w:adjustRightInd w:val="0"/>
        <w:spacing w:line="360" w:lineRule="auto"/>
        <w:jc w:val="both"/>
        <w:rPr>
          <w:rFonts w:asciiTheme="majorHAnsi" w:hAnsiTheme="majorHAnsi" w:cstheme="majorHAnsi"/>
          <w:sz w:val="22"/>
          <w:szCs w:val="22"/>
        </w:rPr>
      </w:pPr>
      <w:r w:rsidRPr="005C7EBD">
        <w:rPr>
          <w:rFonts w:asciiTheme="majorHAnsi" w:hAnsiTheme="majorHAnsi" w:cstheme="majorHAnsi"/>
          <w:sz w:val="22"/>
          <w:szCs w:val="22"/>
        </w:rPr>
        <w:t xml:space="preserve">Se anexa la matriz del </w:t>
      </w:r>
      <w:r w:rsidR="00DF5296">
        <w:rPr>
          <w:rFonts w:asciiTheme="majorHAnsi" w:hAnsiTheme="majorHAnsi" w:cstheme="majorHAnsi"/>
          <w:sz w:val="22"/>
          <w:szCs w:val="22"/>
        </w:rPr>
        <w:t xml:space="preserve">tercer </w:t>
      </w:r>
      <w:r w:rsidRPr="005C7EBD">
        <w:rPr>
          <w:rFonts w:asciiTheme="majorHAnsi" w:hAnsiTheme="majorHAnsi" w:cstheme="majorHAnsi"/>
          <w:sz w:val="22"/>
          <w:szCs w:val="22"/>
        </w:rPr>
        <w:t>informe cuatrimestral de los indicadores correspondientes al Ministerio de Educación.</w:t>
      </w:r>
    </w:p>
    <w:p w14:paraId="40425104" w14:textId="4B98548B" w:rsidR="003857E1" w:rsidRDefault="003857E1" w:rsidP="00E075A4">
      <w:pPr>
        <w:tabs>
          <w:tab w:val="left" w:pos="3686"/>
        </w:tabs>
        <w:rPr>
          <w:rFonts w:ascii="Century Gothic" w:hAnsi="Century Gothic" w:cs="Arial"/>
          <w:sz w:val="18"/>
          <w:szCs w:val="18"/>
          <w:lang w:val="es-GT"/>
        </w:rPr>
      </w:pPr>
    </w:p>
    <w:p w14:paraId="29D5E4D9" w14:textId="77777777" w:rsidR="000745BC" w:rsidRDefault="0065345D" w:rsidP="0065345D">
      <w:pPr>
        <w:tabs>
          <w:tab w:val="left" w:pos="3686"/>
        </w:tabs>
        <w:rPr>
          <w:rFonts w:ascii="Century Gothic" w:hAnsi="Century Gothic" w:cs="Arial"/>
          <w:sz w:val="18"/>
          <w:szCs w:val="18"/>
          <w:lang w:val="es-GT"/>
        </w:rPr>
      </w:pPr>
      <w:r w:rsidRPr="00A950D5">
        <w:rPr>
          <w:rFonts w:ascii="Century Gothic" w:hAnsi="Century Gothic" w:cs="Arial"/>
          <w:sz w:val="18"/>
          <w:szCs w:val="18"/>
          <w:lang w:val="es-GT"/>
        </w:rPr>
        <w:tab/>
      </w:r>
    </w:p>
    <w:sectPr w:rsidR="000745BC" w:rsidSect="00500E38">
      <w:headerReference w:type="even" r:id="rId7"/>
      <w:headerReference w:type="default" r:id="rId8"/>
      <w:footerReference w:type="even" r:id="rId9"/>
      <w:footerReference w:type="default" r:id="rId10"/>
      <w:headerReference w:type="first" r:id="rId11"/>
      <w:footerReference w:type="first" r:id="rId12"/>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DA03C" w14:textId="77777777" w:rsidR="000C6EAD" w:rsidRDefault="000C6EAD" w:rsidP="005B1EDE">
      <w:r>
        <w:separator/>
      </w:r>
    </w:p>
  </w:endnote>
  <w:endnote w:type="continuationSeparator" w:id="0">
    <w:p w14:paraId="60FBA1B8" w14:textId="77777777" w:rsidR="000C6EAD" w:rsidRDefault="000C6EAD"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61" w14:textId="77777777" w:rsidR="005C43CB" w:rsidRDefault="005C43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62" w14:textId="77777777" w:rsidR="005C43CB" w:rsidRDefault="005C43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64" w14:textId="77777777" w:rsidR="005C43CB" w:rsidRDefault="005C43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1A838" w14:textId="77777777" w:rsidR="000C6EAD" w:rsidRDefault="000C6EAD" w:rsidP="005B1EDE">
      <w:r>
        <w:separator/>
      </w:r>
    </w:p>
  </w:footnote>
  <w:footnote w:type="continuationSeparator" w:id="0">
    <w:p w14:paraId="534B6AD1" w14:textId="77777777" w:rsidR="000C6EAD" w:rsidRDefault="000C6EAD" w:rsidP="005B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5F" w14:textId="77777777" w:rsidR="005C43CB" w:rsidRDefault="005C43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60" w14:textId="77777777" w:rsidR="005B1EDE" w:rsidRDefault="002D4C00">
    <w:pPr>
      <w:pStyle w:val="Encabezado"/>
    </w:pPr>
    <w:r>
      <w:rPr>
        <w:noProof/>
        <w:lang w:val="es-GT" w:eastAsia="es-GT"/>
      </w:rPr>
      <w:drawing>
        <wp:anchor distT="0" distB="0" distL="114300" distR="114300" simplePos="0" relativeHeight="251662336" behindDoc="1" locked="0" layoutInCell="1" allowOverlap="1" wp14:anchorId="26A52065" wp14:editId="26A52066">
          <wp:simplePos x="0" y="0"/>
          <wp:positionH relativeFrom="page">
            <wp:align>right</wp:align>
          </wp:positionH>
          <wp:positionV relativeFrom="paragraph">
            <wp:posOffset>-449580</wp:posOffset>
          </wp:positionV>
          <wp:extent cx="7752715" cy="10033000"/>
          <wp:effectExtent l="0" t="0" r="635" b="6350"/>
          <wp:wrapNone/>
          <wp:docPr id="2" name="Imagen 2" descr="G:\IMAGEN GOBIERNO\IMAGEN 2020\Papelería 2020-2024\Hoja Membretada 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AGEN GOBIERNO\IMAGEN 2020\Papelería 2020-2024\Hoja Membretada 2020-2024-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003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2063" w14:textId="77777777" w:rsidR="005C43CB" w:rsidRDefault="005C43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E3A44"/>
    <w:multiLevelType w:val="hybridMultilevel"/>
    <w:tmpl w:val="8D9AC3AA"/>
    <w:lvl w:ilvl="0" w:tplc="538699D2">
      <w:start w:val="13"/>
      <w:numFmt w:val="bullet"/>
      <w:lvlText w:val="-"/>
      <w:lvlJc w:val="left"/>
      <w:pPr>
        <w:ind w:left="720" w:hanging="360"/>
      </w:pPr>
      <w:rPr>
        <w:rFonts w:ascii="Arial" w:eastAsia="Times New Roman" w:hAnsi="Arial" w:cs="Arial" w:hint="default"/>
        <w:color w:val="auto"/>
        <w:sz w:val="2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62523D60"/>
    <w:multiLevelType w:val="hybridMultilevel"/>
    <w:tmpl w:val="7D1C1B5C"/>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DE"/>
    <w:rsid w:val="000059E0"/>
    <w:rsid w:val="0001386E"/>
    <w:rsid w:val="00014C63"/>
    <w:rsid w:val="00024355"/>
    <w:rsid w:val="00046572"/>
    <w:rsid w:val="0005557F"/>
    <w:rsid w:val="00062996"/>
    <w:rsid w:val="00064FD0"/>
    <w:rsid w:val="00066934"/>
    <w:rsid w:val="000745BC"/>
    <w:rsid w:val="00077800"/>
    <w:rsid w:val="00085910"/>
    <w:rsid w:val="00091957"/>
    <w:rsid w:val="000957D5"/>
    <w:rsid w:val="00095B0A"/>
    <w:rsid w:val="000A1485"/>
    <w:rsid w:val="000A6784"/>
    <w:rsid w:val="000B1003"/>
    <w:rsid w:val="000C0E81"/>
    <w:rsid w:val="000C5EE4"/>
    <w:rsid w:val="000C6EAD"/>
    <w:rsid w:val="000D03A1"/>
    <w:rsid w:val="000D7B3B"/>
    <w:rsid w:val="000F05D0"/>
    <w:rsid w:val="000F0CFC"/>
    <w:rsid w:val="00120976"/>
    <w:rsid w:val="001272D0"/>
    <w:rsid w:val="00135711"/>
    <w:rsid w:val="001404B7"/>
    <w:rsid w:val="0014250B"/>
    <w:rsid w:val="00147D87"/>
    <w:rsid w:val="00153DED"/>
    <w:rsid w:val="00173576"/>
    <w:rsid w:val="0017523F"/>
    <w:rsid w:val="00180AE2"/>
    <w:rsid w:val="001869B4"/>
    <w:rsid w:val="001B5D7C"/>
    <w:rsid w:val="001C23B3"/>
    <w:rsid w:val="001C3334"/>
    <w:rsid w:val="001C3D1E"/>
    <w:rsid w:val="001D463D"/>
    <w:rsid w:val="001F0A5C"/>
    <w:rsid w:val="001F4F53"/>
    <w:rsid w:val="002024FC"/>
    <w:rsid w:val="00204EA1"/>
    <w:rsid w:val="00206E5A"/>
    <w:rsid w:val="00207691"/>
    <w:rsid w:val="00215638"/>
    <w:rsid w:val="0022789D"/>
    <w:rsid w:val="002356A0"/>
    <w:rsid w:val="00246A27"/>
    <w:rsid w:val="00252522"/>
    <w:rsid w:val="00256C22"/>
    <w:rsid w:val="00280F1F"/>
    <w:rsid w:val="002826A8"/>
    <w:rsid w:val="00290F95"/>
    <w:rsid w:val="00295E26"/>
    <w:rsid w:val="002B034F"/>
    <w:rsid w:val="002B204E"/>
    <w:rsid w:val="002C4601"/>
    <w:rsid w:val="002D480E"/>
    <w:rsid w:val="002D4C00"/>
    <w:rsid w:val="002E2CFB"/>
    <w:rsid w:val="002E7F46"/>
    <w:rsid w:val="002F4E92"/>
    <w:rsid w:val="003056DC"/>
    <w:rsid w:val="003205ED"/>
    <w:rsid w:val="00325612"/>
    <w:rsid w:val="00327521"/>
    <w:rsid w:val="00344CC3"/>
    <w:rsid w:val="003621EB"/>
    <w:rsid w:val="00373572"/>
    <w:rsid w:val="00375802"/>
    <w:rsid w:val="003857E1"/>
    <w:rsid w:val="003C151E"/>
    <w:rsid w:val="003D1E45"/>
    <w:rsid w:val="003D69DC"/>
    <w:rsid w:val="003E1601"/>
    <w:rsid w:val="003E3293"/>
    <w:rsid w:val="00405FF7"/>
    <w:rsid w:val="00413B2F"/>
    <w:rsid w:val="004154C5"/>
    <w:rsid w:val="0042005A"/>
    <w:rsid w:val="00421CFC"/>
    <w:rsid w:val="00436D23"/>
    <w:rsid w:val="00440B04"/>
    <w:rsid w:val="004630E7"/>
    <w:rsid w:val="00464080"/>
    <w:rsid w:val="004649A0"/>
    <w:rsid w:val="00465748"/>
    <w:rsid w:val="00470A13"/>
    <w:rsid w:val="00484BF5"/>
    <w:rsid w:val="00490296"/>
    <w:rsid w:val="00490484"/>
    <w:rsid w:val="00494AEE"/>
    <w:rsid w:val="0049604F"/>
    <w:rsid w:val="00497616"/>
    <w:rsid w:val="004978DE"/>
    <w:rsid w:val="004B6C72"/>
    <w:rsid w:val="004C5A6F"/>
    <w:rsid w:val="004D1633"/>
    <w:rsid w:val="004D22A3"/>
    <w:rsid w:val="004F2D9D"/>
    <w:rsid w:val="00500E38"/>
    <w:rsid w:val="005019DF"/>
    <w:rsid w:val="00512A1C"/>
    <w:rsid w:val="005232ED"/>
    <w:rsid w:val="005314D9"/>
    <w:rsid w:val="0053622A"/>
    <w:rsid w:val="005418DB"/>
    <w:rsid w:val="00542C24"/>
    <w:rsid w:val="00550664"/>
    <w:rsid w:val="0055292F"/>
    <w:rsid w:val="005530DC"/>
    <w:rsid w:val="0055372E"/>
    <w:rsid w:val="00566E6C"/>
    <w:rsid w:val="00573B8B"/>
    <w:rsid w:val="00584000"/>
    <w:rsid w:val="00586671"/>
    <w:rsid w:val="0059561D"/>
    <w:rsid w:val="00597165"/>
    <w:rsid w:val="005A2876"/>
    <w:rsid w:val="005A453A"/>
    <w:rsid w:val="005A5806"/>
    <w:rsid w:val="005B1EDE"/>
    <w:rsid w:val="005B4DEF"/>
    <w:rsid w:val="005C43CB"/>
    <w:rsid w:val="005C7EBD"/>
    <w:rsid w:val="005E4988"/>
    <w:rsid w:val="005F745D"/>
    <w:rsid w:val="005F7D1C"/>
    <w:rsid w:val="00600277"/>
    <w:rsid w:val="00617673"/>
    <w:rsid w:val="00632720"/>
    <w:rsid w:val="00635538"/>
    <w:rsid w:val="0063558C"/>
    <w:rsid w:val="006401DB"/>
    <w:rsid w:val="00641DE2"/>
    <w:rsid w:val="0065345D"/>
    <w:rsid w:val="006563FC"/>
    <w:rsid w:val="00657E46"/>
    <w:rsid w:val="0067336A"/>
    <w:rsid w:val="006857F4"/>
    <w:rsid w:val="00690EFB"/>
    <w:rsid w:val="006A1651"/>
    <w:rsid w:val="006A6DC4"/>
    <w:rsid w:val="006B0844"/>
    <w:rsid w:val="006B1482"/>
    <w:rsid w:val="006C45C5"/>
    <w:rsid w:val="006C77CC"/>
    <w:rsid w:val="006F3AA5"/>
    <w:rsid w:val="006F538F"/>
    <w:rsid w:val="0070033A"/>
    <w:rsid w:val="00701A2E"/>
    <w:rsid w:val="00720F19"/>
    <w:rsid w:val="007244AD"/>
    <w:rsid w:val="00733AE2"/>
    <w:rsid w:val="00741C91"/>
    <w:rsid w:val="00752575"/>
    <w:rsid w:val="00753D76"/>
    <w:rsid w:val="00762F8F"/>
    <w:rsid w:val="00773069"/>
    <w:rsid w:val="00774789"/>
    <w:rsid w:val="007A4290"/>
    <w:rsid w:val="007B29B8"/>
    <w:rsid w:val="007C4B91"/>
    <w:rsid w:val="007C74A7"/>
    <w:rsid w:val="007F0C21"/>
    <w:rsid w:val="00801937"/>
    <w:rsid w:val="00805126"/>
    <w:rsid w:val="0080531E"/>
    <w:rsid w:val="00814C5D"/>
    <w:rsid w:val="0085769B"/>
    <w:rsid w:val="00860D8A"/>
    <w:rsid w:val="008622B7"/>
    <w:rsid w:val="00867B6D"/>
    <w:rsid w:val="0088423E"/>
    <w:rsid w:val="008A1D09"/>
    <w:rsid w:val="008A50C4"/>
    <w:rsid w:val="008A5C06"/>
    <w:rsid w:val="008B645D"/>
    <w:rsid w:val="008E2ACA"/>
    <w:rsid w:val="008F0251"/>
    <w:rsid w:val="008F25CF"/>
    <w:rsid w:val="008F3245"/>
    <w:rsid w:val="008F6508"/>
    <w:rsid w:val="008F6A5A"/>
    <w:rsid w:val="009024A8"/>
    <w:rsid w:val="009169EE"/>
    <w:rsid w:val="009251C5"/>
    <w:rsid w:val="00931585"/>
    <w:rsid w:val="0093352F"/>
    <w:rsid w:val="0094422B"/>
    <w:rsid w:val="009526CA"/>
    <w:rsid w:val="00960111"/>
    <w:rsid w:val="00960363"/>
    <w:rsid w:val="00963E31"/>
    <w:rsid w:val="00964E7C"/>
    <w:rsid w:val="0096585D"/>
    <w:rsid w:val="00984349"/>
    <w:rsid w:val="00984CD5"/>
    <w:rsid w:val="00984EB5"/>
    <w:rsid w:val="009A25BE"/>
    <w:rsid w:val="009B4B85"/>
    <w:rsid w:val="009B5DBF"/>
    <w:rsid w:val="009B6E5A"/>
    <w:rsid w:val="009C7071"/>
    <w:rsid w:val="009E4A9B"/>
    <w:rsid w:val="009E6789"/>
    <w:rsid w:val="00A05D3A"/>
    <w:rsid w:val="00A17F33"/>
    <w:rsid w:val="00A329DF"/>
    <w:rsid w:val="00A35352"/>
    <w:rsid w:val="00A52D44"/>
    <w:rsid w:val="00A54772"/>
    <w:rsid w:val="00A63D9C"/>
    <w:rsid w:val="00A66891"/>
    <w:rsid w:val="00A67308"/>
    <w:rsid w:val="00A7553A"/>
    <w:rsid w:val="00A83B11"/>
    <w:rsid w:val="00A91021"/>
    <w:rsid w:val="00AB03F3"/>
    <w:rsid w:val="00AB3E20"/>
    <w:rsid w:val="00AB5CE8"/>
    <w:rsid w:val="00AC62E2"/>
    <w:rsid w:val="00AE6E16"/>
    <w:rsid w:val="00B158D5"/>
    <w:rsid w:val="00B33457"/>
    <w:rsid w:val="00B4255D"/>
    <w:rsid w:val="00B47E20"/>
    <w:rsid w:val="00B61D7E"/>
    <w:rsid w:val="00B628AD"/>
    <w:rsid w:val="00B671D2"/>
    <w:rsid w:val="00B70B15"/>
    <w:rsid w:val="00B70E08"/>
    <w:rsid w:val="00B813DC"/>
    <w:rsid w:val="00B8343A"/>
    <w:rsid w:val="00BA4CA9"/>
    <w:rsid w:val="00BA6308"/>
    <w:rsid w:val="00BB6102"/>
    <w:rsid w:val="00BB66B3"/>
    <w:rsid w:val="00BB7303"/>
    <w:rsid w:val="00BB761E"/>
    <w:rsid w:val="00BC2739"/>
    <w:rsid w:val="00BC4804"/>
    <w:rsid w:val="00BE2194"/>
    <w:rsid w:val="00BF7E90"/>
    <w:rsid w:val="00C00835"/>
    <w:rsid w:val="00C13609"/>
    <w:rsid w:val="00C158D1"/>
    <w:rsid w:val="00C20052"/>
    <w:rsid w:val="00C44CA5"/>
    <w:rsid w:val="00C53B6D"/>
    <w:rsid w:val="00C62D14"/>
    <w:rsid w:val="00C7404D"/>
    <w:rsid w:val="00C7687A"/>
    <w:rsid w:val="00CA7514"/>
    <w:rsid w:val="00CB0954"/>
    <w:rsid w:val="00CD74D6"/>
    <w:rsid w:val="00CF5F12"/>
    <w:rsid w:val="00D10714"/>
    <w:rsid w:val="00D15962"/>
    <w:rsid w:val="00D15FEE"/>
    <w:rsid w:val="00D4353B"/>
    <w:rsid w:val="00D5444C"/>
    <w:rsid w:val="00D642AE"/>
    <w:rsid w:val="00D70DB3"/>
    <w:rsid w:val="00D819D8"/>
    <w:rsid w:val="00D901EE"/>
    <w:rsid w:val="00D978F5"/>
    <w:rsid w:val="00DA42A1"/>
    <w:rsid w:val="00DB161F"/>
    <w:rsid w:val="00DB56C3"/>
    <w:rsid w:val="00DC3D31"/>
    <w:rsid w:val="00DC750D"/>
    <w:rsid w:val="00DD3081"/>
    <w:rsid w:val="00DD3135"/>
    <w:rsid w:val="00DD4321"/>
    <w:rsid w:val="00DD7570"/>
    <w:rsid w:val="00DE5018"/>
    <w:rsid w:val="00DF25DA"/>
    <w:rsid w:val="00DF5296"/>
    <w:rsid w:val="00E02367"/>
    <w:rsid w:val="00E04938"/>
    <w:rsid w:val="00E05310"/>
    <w:rsid w:val="00E075A4"/>
    <w:rsid w:val="00E30CCA"/>
    <w:rsid w:val="00E37EE9"/>
    <w:rsid w:val="00E4096A"/>
    <w:rsid w:val="00E67021"/>
    <w:rsid w:val="00E85C45"/>
    <w:rsid w:val="00E86942"/>
    <w:rsid w:val="00E87D56"/>
    <w:rsid w:val="00E91B96"/>
    <w:rsid w:val="00E97350"/>
    <w:rsid w:val="00EA0424"/>
    <w:rsid w:val="00EB6FFD"/>
    <w:rsid w:val="00EC3235"/>
    <w:rsid w:val="00EC3C15"/>
    <w:rsid w:val="00EE3DC0"/>
    <w:rsid w:val="00F0724A"/>
    <w:rsid w:val="00F2063B"/>
    <w:rsid w:val="00F25D10"/>
    <w:rsid w:val="00F27B31"/>
    <w:rsid w:val="00F311B5"/>
    <w:rsid w:val="00F318D1"/>
    <w:rsid w:val="00F618F0"/>
    <w:rsid w:val="00F738F4"/>
    <w:rsid w:val="00F775E9"/>
    <w:rsid w:val="00F87A76"/>
    <w:rsid w:val="00F915FA"/>
    <w:rsid w:val="00F91669"/>
    <w:rsid w:val="00F91CDA"/>
    <w:rsid w:val="00F95FC3"/>
    <w:rsid w:val="00FA111C"/>
    <w:rsid w:val="00FB1716"/>
    <w:rsid w:val="00FC69E9"/>
    <w:rsid w:val="00FD06F3"/>
    <w:rsid w:val="00FF0446"/>
    <w:rsid w:val="00FF3461"/>
    <w:rsid w:val="00FF442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2032"/>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NormalWeb">
    <w:name w:val="Normal (Web)"/>
    <w:basedOn w:val="Normal"/>
    <w:uiPriority w:val="99"/>
    <w:unhideWhenUsed/>
    <w:rsid w:val="00E075A4"/>
    <w:pPr>
      <w:spacing w:before="100" w:beforeAutospacing="1" w:after="100" w:afterAutospacing="1"/>
    </w:pPr>
    <w:rPr>
      <w:rFonts w:ascii="Times New Roman" w:eastAsia="Times New Roman" w:hAnsi="Times New Roman" w:cs="Times New Roman"/>
      <w:lang w:val="es-GT" w:eastAsia="es-GT"/>
    </w:rPr>
  </w:style>
  <w:style w:type="paragraph" w:styleId="Textodeglobo">
    <w:name w:val="Balloon Text"/>
    <w:basedOn w:val="Normal"/>
    <w:link w:val="TextodegloboCar"/>
    <w:uiPriority w:val="99"/>
    <w:semiHidden/>
    <w:unhideWhenUsed/>
    <w:rsid w:val="001C33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3334"/>
    <w:rPr>
      <w:rFonts w:ascii="Segoe UI" w:hAnsi="Segoe UI" w:cs="Segoe UI"/>
      <w:sz w:val="18"/>
      <w:szCs w:val="18"/>
      <w:lang w:val="es-ES_tradnl"/>
    </w:rPr>
  </w:style>
  <w:style w:type="character" w:customStyle="1" w:styleId="PrrafodelistaCar">
    <w:name w:val="Párrafo de lista Car"/>
    <w:aliases w:val="Numbered List Paragraph Car,List Bullet Mary Car,Bullet paras Car,Heading 1.1 Car,List Paragraph (numbered (a)) Car,Use Case List Paragraph Car,Bullets Car,ANNEX Car,List Paragraph1 Car,List Paragraph2 Car,References Car"/>
    <w:basedOn w:val="Fuentedeprrafopredeter"/>
    <w:link w:val="Prrafodelista"/>
    <w:uiPriority w:val="34"/>
    <w:locked/>
    <w:rsid w:val="00566E6C"/>
  </w:style>
  <w:style w:type="paragraph" w:styleId="Prrafodelista">
    <w:name w:val="List Paragraph"/>
    <w:aliases w:val="Numbered List Paragraph,List Bullet Mary,Bullet paras,Heading 1.1,List Paragraph (numbered (a)),Use Case List Paragraph,Bullets,ANNEX,List Paragraph1,List Paragraph2,List Paragraph Char Char Char,Main numbered paragraph,References"/>
    <w:basedOn w:val="Normal"/>
    <w:link w:val="PrrafodelistaCar"/>
    <w:uiPriority w:val="34"/>
    <w:qFormat/>
    <w:rsid w:val="00566E6C"/>
    <w:pPr>
      <w:spacing w:after="200" w:line="276" w:lineRule="auto"/>
      <w:ind w:left="720"/>
      <w:contextualSpacing/>
      <w:jc w:val="both"/>
    </w:pPr>
    <w:rPr>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9394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Jacqueline Caal Diaz</cp:lastModifiedBy>
  <cp:revision>2</cp:revision>
  <cp:lastPrinted>2022-09-06T15:54:00Z</cp:lastPrinted>
  <dcterms:created xsi:type="dcterms:W3CDTF">2023-01-17T20:02:00Z</dcterms:created>
  <dcterms:modified xsi:type="dcterms:W3CDTF">2023-01-17T20:02:00Z</dcterms:modified>
</cp:coreProperties>
</file>