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5506" w14:textId="77777777" w:rsidR="00CA6FCF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>
        <w:rPr>
          <w:b/>
          <w:sz w:val="24"/>
        </w:rPr>
        <w:t xml:space="preserve">MINISTERIO DE EDUCACIÓN AUDITORIA INTERNA </w:t>
      </w:r>
    </w:p>
    <w:p w14:paraId="1687958F" w14:textId="43D9F888" w:rsidR="00A255F0" w:rsidRDefault="00EB12F7" w:rsidP="00EB12F7">
      <w:pPr>
        <w:spacing w:line="290" w:lineRule="auto"/>
        <w:ind w:right="34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177A94">
        <w:rPr>
          <w:b/>
          <w:sz w:val="24"/>
        </w:rPr>
        <w:t xml:space="preserve">Informe </w:t>
      </w:r>
      <w:r w:rsidR="00A255F0">
        <w:rPr>
          <w:b/>
          <w:sz w:val="24"/>
        </w:rPr>
        <w:t>O</w:t>
      </w:r>
      <w:r w:rsidR="00177A94">
        <w:rPr>
          <w:b/>
          <w:sz w:val="24"/>
        </w:rPr>
        <w:t>-</w:t>
      </w:r>
      <w:r w:rsidR="00A255F0">
        <w:rPr>
          <w:b/>
          <w:sz w:val="24"/>
        </w:rPr>
        <w:t>DIDAI/SUB</w:t>
      </w:r>
      <w:r w:rsidR="0058670E">
        <w:rPr>
          <w:b/>
          <w:sz w:val="24"/>
        </w:rPr>
        <w:t>-</w:t>
      </w:r>
      <w:r w:rsidR="007034A6">
        <w:rPr>
          <w:b/>
          <w:sz w:val="24"/>
        </w:rPr>
        <w:t>219</w:t>
      </w:r>
      <w:r w:rsidR="00A255F0">
        <w:rPr>
          <w:b/>
          <w:sz w:val="24"/>
        </w:rPr>
        <w:t>-2022</w:t>
      </w:r>
    </w:p>
    <w:p w14:paraId="6A814246" w14:textId="4BDDF19D" w:rsidR="00177A94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 xml:space="preserve">SIAD </w:t>
      </w:r>
      <w:r w:rsidR="007034A6">
        <w:rPr>
          <w:b/>
          <w:sz w:val="24"/>
        </w:rPr>
        <w:t>613794</w:t>
      </w:r>
    </w:p>
    <w:p w14:paraId="7BD86186" w14:textId="77777777" w:rsidR="00CA6FCF" w:rsidRDefault="00CA6FCF">
      <w:pPr>
        <w:pStyle w:val="Textoindependiente"/>
        <w:rPr>
          <w:b/>
          <w:sz w:val="26"/>
        </w:rPr>
      </w:pPr>
    </w:p>
    <w:p w14:paraId="372259AD" w14:textId="77777777" w:rsidR="00CA6FCF" w:rsidRDefault="00EB12F7">
      <w:pPr>
        <w:pStyle w:val="Textoindependiente"/>
        <w:rPr>
          <w:b/>
          <w:sz w:val="26"/>
        </w:rPr>
      </w:pPr>
      <w:r>
        <w:rPr>
          <w:b/>
          <w:sz w:val="26"/>
        </w:rPr>
        <w:t xml:space="preserve">   </w:t>
      </w:r>
    </w:p>
    <w:p w14:paraId="3BD70F66" w14:textId="77777777" w:rsidR="00CA6FCF" w:rsidRDefault="00CA6FCF">
      <w:pPr>
        <w:pStyle w:val="Textoindependiente"/>
        <w:rPr>
          <w:b/>
          <w:sz w:val="26"/>
        </w:rPr>
      </w:pPr>
    </w:p>
    <w:p w14:paraId="447695D2" w14:textId="77777777" w:rsidR="00CA6FCF" w:rsidRDefault="00CA6FCF">
      <w:pPr>
        <w:pStyle w:val="Textoindependiente"/>
        <w:rPr>
          <w:b/>
          <w:sz w:val="26"/>
        </w:rPr>
      </w:pPr>
    </w:p>
    <w:p w14:paraId="145E63FF" w14:textId="77777777" w:rsidR="00CA6FCF" w:rsidRDefault="00CA6FCF">
      <w:pPr>
        <w:pStyle w:val="Textoindependiente"/>
        <w:rPr>
          <w:b/>
          <w:sz w:val="26"/>
        </w:rPr>
      </w:pPr>
    </w:p>
    <w:p w14:paraId="042EE4CA" w14:textId="77777777" w:rsidR="00CA6FCF" w:rsidRDefault="00CA6FCF">
      <w:pPr>
        <w:pStyle w:val="Textoindependiente"/>
        <w:rPr>
          <w:b/>
          <w:sz w:val="26"/>
        </w:rPr>
      </w:pPr>
    </w:p>
    <w:p w14:paraId="160BC0DF" w14:textId="77777777" w:rsidR="00CA6FCF" w:rsidRDefault="00CA6FCF">
      <w:pPr>
        <w:pStyle w:val="Textoindependiente"/>
        <w:rPr>
          <w:b/>
          <w:sz w:val="26"/>
        </w:rPr>
      </w:pPr>
    </w:p>
    <w:p w14:paraId="5BF2FA49" w14:textId="77777777" w:rsidR="00CA6FCF" w:rsidRDefault="00CA6FCF">
      <w:pPr>
        <w:pStyle w:val="Textoindependiente"/>
        <w:rPr>
          <w:b/>
          <w:sz w:val="26"/>
        </w:rPr>
      </w:pPr>
    </w:p>
    <w:p w14:paraId="1378A31B" w14:textId="77777777" w:rsidR="00CA6FCF" w:rsidRDefault="00CA6FCF">
      <w:pPr>
        <w:pStyle w:val="Textoindependiente"/>
        <w:rPr>
          <w:b/>
          <w:sz w:val="26"/>
        </w:rPr>
      </w:pPr>
    </w:p>
    <w:p w14:paraId="1615FB75" w14:textId="77777777" w:rsidR="00CA6FCF" w:rsidRDefault="00CA6FCF">
      <w:pPr>
        <w:pStyle w:val="Textoindependiente"/>
        <w:rPr>
          <w:b/>
          <w:sz w:val="26"/>
        </w:rPr>
      </w:pPr>
    </w:p>
    <w:p w14:paraId="645C7744" w14:textId="77777777" w:rsidR="00CA6FCF" w:rsidRDefault="00CA6FCF">
      <w:pPr>
        <w:pStyle w:val="Textoindependiente"/>
        <w:rPr>
          <w:b/>
          <w:sz w:val="26"/>
        </w:rPr>
      </w:pPr>
    </w:p>
    <w:p w14:paraId="4A585BA5" w14:textId="77777777" w:rsidR="00CA6FCF" w:rsidRDefault="00CA6FCF">
      <w:pPr>
        <w:pStyle w:val="Textoindependiente"/>
        <w:rPr>
          <w:b/>
          <w:sz w:val="26"/>
        </w:rPr>
      </w:pPr>
    </w:p>
    <w:p w14:paraId="3AC0B104" w14:textId="77777777" w:rsidR="00CA6FCF" w:rsidRDefault="00CA6FCF">
      <w:pPr>
        <w:pStyle w:val="Textoindependiente"/>
        <w:rPr>
          <w:b/>
          <w:sz w:val="26"/>
        </w:rPr>
      </w:pPr>
    </w:p>
    <w:p w14:paraId="0D53CBC2" w14:textId="77777777" w:rsidR="00CA6FCF" w:rsidRDefault="00CA6FCF">
      <w:pPr>
        <w:pStyle w:val="Textoindependiente"/>
        <w:rPr>
          <w:b/>
          <w:sz w:val="26"/>
        </w:rPr>
      </w:pPr>
    </w:p>
    <w:p w14:paraId="62BC9B21" w14:textId="35886B9A" w:rsidR="00CA6FCF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>
        <w:rPr>
          <w:b/>
          <w:sz w:val="24"/>
        </w:rPr>
        <w:t xml:space="preserve">Consejo o consultoría </w:t>
      </w:r>
      <w:r w:rsidR="00514BCE">
        <w:rPr>
          <w:b/>
          <w:sz w:val="24"/>
        </w:rPr>
        <w:t>de arqueo de fondo rotativo, caja chica y cupones de combustible</w:t>
      </w:r>
      <w:r w:rsidR="00345AA4">
        <w:rPr>
          <w:b/>
          <w:sz w:val="24"/>
        </w:rPr>
        <w:t xml:space="preserve">, en </w:t>
      </w:r>
      <w:r w:rsidR="00514BCE">
        <w:rPr>
          <w:b/>
          <w:sz w:val="24"/>
        </w:rPr>
        <w:t>l</w:t>
      </w:r>
      <w:r w:rsidR="007034A6">
        <w:rPr>
          <w:b/>
          <w:sz w:val="24"/>
        </w:rPr>
        <w:t xml:space="preserve">a </w:t>
      </w:r>
      <w:r w:rsidR="00BD694D">
        <w:rPr>
          <w:b/>
          <w:sz w:val="24"/>
        </w:rPr>
        <w:t>Dirección General</w:t>
      </w:r>
      <w:r w:rsidR="007034A6">
        <w:rPr>
          <w:b/>
          <w:sz w:val="24"/>
        </w:rPr>
        <w:t xml:space="preserve"> de Participación Comunitaria y Servicios de Apoyo             </w:t>
      </w:r>
      <w:r w:rsidR="00596353">
        <w:rPr>
          <w:b/>
          <w:sz w:val="24"/>
        </w:rPr>
        <w:t>-</w:t>
      </w:r>
      <w:r w:rsidR="007034A6">
        <w:rPr>
          <w:b/>
          <w:sz w:val="24"/>
        </w:rPr>
        <w:t>DIGEPSA-</w:t>
      </w:r>
    </w:p>
    <w:p w14:paraId="78983007" w14:textId="77777777" w:rsidR="00CA6FCF" w:rsidRDefault="00CA6FCF">
      <w:pPr>
        <w:pStyle w:val="Textoindependiente"/>
        <w:rPr>
          <w:b/>
          <w:sz w:val="20"/>
        </w:rPr>
      </w:pPr>
    </w:p>
    <w:p w14:paraId="01778418" w14:textId="77777777" w:rsidR="00CA6FCF" w:rsidRDefault="00CA6FCF">
      <w:pPr>
        <w:pStyle w:val="Textoindependiente"/>
        <w:rPr>
          <w:b/>
          <w:sz w:val="20"/>
        </w:rPr>
      </w:pPr>
    </w:p>
    <w:p w14:paraId="61133075" w14:textId="77777777" w:rsidR="00CA6FCF" w:rsidRDefault="00CA6FCF">
      <w:pPr>
        <w:pStyle w:val="Textoindependiente"/>
        <w:rPr>
          <w:b/>
          <w:sz w:val="20"/>
        </w:rPr>
      </w:pPr>
    </w:p>
    <w:p w14:paraId="3836EAFF" w14:textId="77777777" w:rsidR="00CA6FCF" w:rsidRDefault="00CA6FCF">
      <w:pPr>
        <w:pStyle w:val="Textoindependiente"/>
        <w:rPr>
          <w:b/>
          <w:sz w:val="20"/>
        </w:rPr>
      </w:pPr>
    </w:p>
    <w:p w14:paraId="2DE20C8F" w14:textId="77777777" w:rsidR="00CA6FCF" w:rsidRDefault="00CA6FCF">
      <w:pPr>
        <w:pStyle w:val="Textoindependiente"/>
        <w:rPr>
          <w:b/>
          <w:sz w:val="20"/>
        </w:rPr>
      </w:pPr>
    </w:p>
    <w:p w14:paraId="54088E35" w14:textId="77777777" w:rsidR="00CA6FCF" w:rsidRDefault="00CA6FCF">
      <w:pPr>
        <w:pStyle w:val="Textoindependiente"/>
        <w:rPr>
          <w:b/>
          <w:sz w:val="20"/>
        </w:rPr>
      </w:pPr>
    </w:p>
    <w:p w14:paraId="6744734C" w14:textId="77777777" w:rsidR="00CA6FCF" w:rsidRDefault="00CA6FCF">
      <w:pPr>
        <w:pStyle w:val="Textoindependiente"/>
        <w:rPr>
          <w:b/>
          <w:sz w:val="20"/>
        </w:rPr>
      </w:pPr>
    </w:p>
    <w:p w14:paraId="480827F7" w14:textId="77777777" w:rsidR="00CA6FCF" w:rsidRDefault="00CA6FCF">
      <w:pPr>
        <w:pStyle w:val="Textoindependiente"/>
        <w:rPr>
          <w:b/>
          <w:sz w:val="20"/>
        </w:rPr>
      </w:pPr>
    </w:p>
    <w:p w14:paraId="7BF20425" w14:textId="77777777" w:rsidR="00CA6FCF" w:rsidRDefault="00CA6FCF">
      <w:pPr>
        <w:pStyle w:val="Textoindependiente"/>
        <w:rPr>
          <w:b/>
          <w:sz w:val="20"/>
        </w:rPr>
      </w:pPr>
    </w:p>
    <w:p w14:paraId="0E960258" w14:textId="77777777" w:rsidR="00CA6FCF" w:rsidRDefault="00CA6FCF">
      <w:pPr>
        <w:pStyle w:val="Textoindependiente"/>
        <w:rPr>
          <w:b/>
          <w:sz w:val="20"/>
        </w:rPr>
      </w:pPr>
    </w:p>
    <w:p w14:paraId="2BE4AA09" w14:textId="77777777" w:rsidR="00CA6FCF" w:rsidRDefault="00CA6FCF">
      <w:pPr>
        <w:pStyle w:val="Textoindependiente"/>
        <w:rPr>
          <w:b/>
          <w:sz w:val="20"/>
        </w:rPr>
      </w:pPr>
    </w:p>
    <w:p w14:paraId="7E5BDA5B" w14:textId="77777777" w:rsidR="00CA6FCF" w:rsidRDefault="00CA6FCF">
      <w:pPr>
        <w:pStyle w:val="Textoindependiente"/>
        <w:rPr>
          <w:b/>
          <w:sz w:val="20"/>
        </w:rPr>
      </w:pPr>
    </w:p>
    <w:p w14:paraId="24D4D304" w14:textId="77777777" w:rsidR="00CA6FCF" w:rsidRDefault="00CA6FCF">
      <w:pPr>
        <w:pStyle w:val="Textoindependiente"/>
        <w:rPr>
          <w:b/>
          <w:sz w:val="20"/>
        </w:rPr>
      </w:pPr>
    </w:p>
    <w:p w14:paraId="13B000F8" w14:textId="77777777" w:rsidR="00CA6FCF" w:rsidRDefault="00CA6FCF">
      <w:pPr>
        <w:pStyle w:val="Textoindependiente"/>
        <w:rPr>
          <w:b/>
          <w:sz w:val="20"/>
        </w:rPr>
      </w:pPr>
    </w:p>
    <w:p w14:paraId="6221ECA1" w14:textId="77777777" w:rsidR="00CA6FCF" w:rsidRDefault="00CA6FCF">
      <w:pPr>
        <w:pStyle w:val="Textoindependiente"/>
        <w:rPr>
          <w:b/>
          <w:sz w:val="20"/>
        </w:rPr>
      </w:pPr>
    </w:p>
    <w:p w14:paraId="4A7FC1B7" w14:textId="77777777" w:rsidR="00CA6FCF" w:rsidRDefault="00CA6FCF">
      <w:pPr>
        <w:pStyle w:val="Textoindependiente"/>
        <w:rPr>
          <w:b/>
          <w:sz w:val="20"/>
        </w:rPr>
      </w:pPr>
    </w:p>
    <w:p w14:paraId="22377288" w14:textId="77777777" w:rsidR="00CA6FCF" w:rsidRDefault="00CA6FCF">
      <w:pPr>
        <w:pStyle w:val="Textoindependiente"/>
        <w:rPr>
          <w:b/>
          <w:sz w:val="20"/>
        </w:rPr>
      </w:pPr>
    </w:p>
    <w:p w14:paraId="44319835" w14:textId="77777777" w:rsidR="00CA6FCF" w:rsidRDefault="00CA6FCF">
      <w:pPr>
        <w:pStyle w:val="Textoindependiente"/>
        <w:rPr>
          <w:b/>
          <w:sz w:val="20"/>
        </w:rPr>
      </w:pPr>
    </w:p>
    <w:p w14:paraId="3DA90A10" w14:textId="77777777" w:rsidR="00CA6FCF" w:rsidRDefault="00CA6FCF">
      <w:pPr>
        <w:pStyle w:val="Textoindependiente"/>
        <w:rPr>
          <w:b/>
          <w:sz w:val="20"/>
        </w:rPr>
      </w:pPr>
    </w:p>
    <w:p w14:paraId="18F3D55E" w14:textId="77777777" w:rsidR="00CA6FCF" w:rsidRDefault="00CA6FCF">
      <w:pPr>
        <w:pStyle w:val="Textoindependiente"/>
        <w:rPr>
          <w:b/>
          <w:sz w:val="20"/>
        </w:rPr>
      </w:pPr>
    </w:p>
    <w:p w14:paraId="5D4D2A8C" w14:textId="77777777" w:rsidR="00CA6FCF" w:rsidRDefault="00CA6FCF">
      <w:pPr>
        <w:pStyle w:val="Textoindependiente"/>
        <w:rPr>
          <w:b/>
          <w:sz w:val="20"/>
        </w:rPr>
      </w:pPr>
    </w:p>
    <w:p w14:paraId="74662DEC" w14:textId="77777777" w:rsidR="00CA6FCF" w:rsidRDefault="00CA6FCF">
      <w:pPr>
        <w:pStyle w:val="Textoindependiente"/>
        <w:rPr>
          <w:b/>
          <w:sz w:val="20"/>
        </w:rPr>
      </w:pPr>
    </w:p>
    <w:p w14:paraId="0EFCBA9D" w14:textId="77777777" w:rsidR="00CA6FCF" w:rsidRDefault="00CA6FCF">
      <w:pPr>
        <w:pStyle w:val="Textoindependiente"/>
        <w:rPr>
          <w:b/>
          <w:sz w:val="20"/>
        </w:rPr>
      </w:pPr>
    </w:p>
    <w:p w14:paraId="108FC087" w14:textId="77777777" w:rsidR="00CA6FCF" w:rsidRDefault="00CA6FCF">
      <w:pPr>
        <w:pStyle w:val="Textoindependiente"/>
        <w:rPr>
          <w:b/>
          <w:sz w:val="20"/>
        </w:rPr>
      </w:pPr>
    </w:p>
    <w:p w14:paraId="75D9A3F3" w14:textId="77777777" w:rsidR="00CA6FCF" w:rsidRDefault="00CA6FCF">
      <w:pPr>
        <w:pStyle w:val="Textoindependiente"/>
        <w:spacing w:before="8"/>
        <w:rPr>
          <w:b/>
          <w:sz w:val="26"/>
        </w:rPr>
      </w:pPr>
    </w:p>
    <w:p w14:paraId="3973A839" w14:textId="68C6E39A" w:rsidR="00CA6FCF" w:rsidRDefault="00345AA4">
      <w:pPr>
        <w:spacing w:before="92"/>
        <w:ind w:left="3801"/>
        <w:rPr>
          <w:b/>
          <w:sz w:val="24"/>
        </w:rPr>
      </w:pPr>
      <w:r>
        <w:rPr>
          <w:b/>
          <w:sz w:val="24"/>
        </w:rPr>
        <w:t xml:space="preserve">GUATEMALA, </w:t>
      </w:r>
      <w:r w:rsidR="007034A6">
        <w:rPr>
          <w:b/>
          <w:sz w:val="24"/>
        </w:rPr>
        <w:t xml:space="preserve">NOVIEMBRE </w:t>
      </w:r>
      <w:r>
        <w:rPr>
          <w:b/>
          <w:sz w:val="24"/>
        </w:rPr>
        <w:t>DE 202</w:t>
      </w:r>
      <w:r w:rsidR="00A255F0">
        <w:rPr>
          <w:b/>
          <w:sz w:val="24"/>
        </w:rPr>
        <w:t>2</w:t>
      </w:r>
    </w:p>
    <w:p w14:paraId="250971CB" w14:textId="77777777" w:rsidR="00CA6FCF" w:rsidRDefault="00CA6FCF">
      <w:pPr>
        <w:rPr>
          <w:sz w:val="24"/>
        </w:rPr>
        <w:sectPr w:rsidR="00CA6F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765F3F7A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3F131724" w14:textId="77777777" w:rsidR="00CA6FCF" w:rsidRDefault="002E6AEF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5A6BA89A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6F3004B1" w14:textId="77777777" w:rsidR="00CA6FCF" w:rsidRDefault="002E6AEF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2030F7F5" w14:textId="77777777" w:rsidR="00CA6FCF" w:rsidRDefault="002E6AEF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</w:t>
            </w:r>
            <w:r w:rsidR="00045632">
              <w:t>T</w:t>
            </w:r>
            <w:r w:rsidR="00345AA4">
              <w:t>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11A53D03" w14:textId="77777777" w:rsidR="00CA6FCF" w:rsidRDefault="00514BCE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r>
            <w:rPr>
              <w:position w:val="-3"/>
            </w:rPr>
            <w:t xml:space="preserve">ANEXOS                                                                                                        </w:t>
          </w:r>
          <w:r w:rsidRPr="003726D3">
            <w:rPr>
              <w:b w:val="0"/>
              <w:position w:val="-3"/>
            </w:rPr>
            <w:t>5</w:t>
          </w:r>
        </w:p>
      </w:sdtContent>
    </w:sdt>
    <w:p w14:paraId="0B2248C0" w14:textId="77777777" w:rsidR="00CA6FCF" w:rsidRDefault="00CA6FCF">
      <w:pPr>
        <w:pStyle w:val="Textoindependiente"/>
        <w:rPr>
          <w:sz w:val="20"/>
        </w:rPr>
      </w:pPr>
    </w:p>
    <w:p w14:paraId="3D4DAB1E" w14:textId="77777777" w:rsidR="00CA6FCF" w:rsidRDefault="00CA6FCF">
      <w:pPr>
        <w:pStyle w:val="Textoindependiente"/>
        <w:rPr>
          <w:sz w:val="20"/>
        </w:rPr>
      </w:pPr>
    </w:p>
    <w:p w14:paraId="67AA6EAB" w14:textId="77777777" w:rsidR="00CA6FCF" w:rsidRDefault="00CA6FCF">
      <w:pPr>
        <w:pStyle w:val="Textoindependiente"/>
        <w:rPr>
          <w:sz w:val="20"/>
        </w:rPr>
      </w:pPr>
    </w:p>
    <w:p w14:paraId="10648EFC" w14:textId="77777777" w:rsidR="00CA6FCF" w:rsidRDefault="00CA6FCF">
      <w:pPr>
        <w:pStyle w:val="Textoindependiente"/>
        <w:rPr>
          <w:sz w:val="20"/>
        </w:rPr>
      </w:pPr>
    </w:p>
    <w:p w14:paraId="7CCE0C7F" w14:textId="77777777" w:rsidR="00CA6FCF" w:rsidRDefault="00CA6FCF">
      <w:pPr>
        <w:pStyle w:val="Textoindependiente"/>
        <w:rPr>
          <w:sz w:val="20"/>
        </w:rPr>
      </w:pPr>
    </w:p>
    <w:p w14:paraId="07C251C3" w14:textId="77777777" w:rsidR="00CA6FCF" w:rsidRDefault="00CA6FCF">
      <w:pPr>
        <w:pStyle w:val="Textoindependiente"/>
        <w:rPr>
          <w:sz w:val="20"/>
        </w:rPr>
      </w:pPr>
    </w:p>
    <w:p w14:paraId="44C74F6D" w14:textId="77777777" w:rsidR="00CA6FCF" w:rsidRDefault="00CA6FCF">
      <w:pPr>
        <w:pStyle w:val="Textoindependiente"/>
        <w:rPr>
          <w:sz w:val="20"/>
        </w:rPr>
      </w:pPr>
    </w:p>
    <w:p w14:paraId="2D3EDB2C" w14:textId="77777777" w:rsidR="00CA6FCF" w:rsidRDefault="00CA6FCF">
      <w:pPr>
        <w:pStyle w:val="Textoindependiente"/>
        <w:rPr>
          <w:sz w:val="20"/>
        </w:rPr>
      </w:pPr>
    </w:p>
    <w:p w14:paraId="5F6AE0E7" w14:textId="77777777" w:rsidR="00CA6FCF" w:rsidRDefault="00CA6FCF">
      <w:pPr>
        <w:pStyle w:val="Textoindependiente"/>
        <w:rPr>
          <w:sz w:val="20"/>
        </w:rPr>
      </w:pPr>
    </w:p>
    <w:p w14:paraId="2242E76B" w14:textId="77777777" w:rsidR="00CA6FCF" w:rsidRDefault="00CA6FCF">
      <w:pPr>
        <w:pStyle w:val="Textoindependiente"/>
        <w:rPr>
          <w:sz w:val="20"/>
        </w:rPr>
      </w:pPr>
    </w:p>
    <w:p w14:paraId="7BB4C41E" w14:textId="77777777" w:rsidR="00CA6FCF" w:rsidRDefault="00CA6FCF">
      <w:pPr>
        <w:pStyle w:val="Textoindependiente"/>
        <w:rPr>
          <w:sz w:val="20"/>
        </w:rPr>
      </w:pPr>
    </w:p>
    <w:p w14:paraId="60D4A157" w14:textId="77777777" w:rsidR="00CA6FCF" w:rsidRDefault="00CA6FCF">
      <w:pPr>
        <w:pStyle w:val="Textoindependiente"/>
        <w:rPr>
          <w:sz w:val="20"/>
        </w:rPr>
      </w:pPr>
    </w:p>
    <w:p w14:paraId="583E7CEB" w14:textId="77777777" w:rsidR="00CA6FCF" w:rsidRDefault="00CA6FCF">
      <w:pPr>
        <w:pStyle w:val="Textoindependiente"/>
        <w:rPr>
          <w:sz w:val="20"/>
        </w:rPr>
      </w:pPr>
    </w:p>
    <w:p w14:paraId="704B15F0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0B959ED6" w14:textId="77777777" w:rsidR="00CA6FCF" w:rsidRDefault="00CA6FCF">
      <w:pPr>
        <w:pStyle w:val="Textoindependiente"/>
        <w:rPr>
          <w:sz w:val="20"/>
        </w:rPr>
      </w:pPr>
    </w:p>
    <w:p w14:paraId="05FB3AF5" w14:textId="77777777" w:rsidR="00CA6FCF" w:rsidRDefault="00CA6FCF">
      <w:pPr>
        <w:pStyle w:val="Textoindependiente"/>
        <w:rPr>
          <w:sz w:val="20"/>
        </w:rPr>
      </w:pPr>
    </w:p>
    <w:p w14:paraId="121179DC" w14:textId="77777777" w:rsidR="00CA6FCF" w:rsidRDefault="00CA6FCF">
      <w:pPr>
        <w:pStyle w:val="Textoindependiente"/>
        <w:rPr>
          <w:sz w:val="20"/>
        </w:rPr>
      </w:pPr>
    </w:p>
    <w:p w14:paraId="437CB0E2" w14:textId="77777777" w:rsidR="00CA6FCF" w:rsidRDefault="00CA6FCF">
      <w:pPr>
        <w:pStyle w:val="Textoindependiente"/>
        <w:rPr>
          <w:sz w:val="20"/>
        </w:rPr>
      </w:pPr>
    </w:p>
    <w:p w14:paraId="219A9E47" w14:textId="77777777" w:rsidR="00CA6FCF" w:rsidRDefault="00CA6FCF">
      <w:pPr>
        <w:pStyle w:val="Textoindependiente"/>
        <w:rPr>
          <w:sz w:val="20"/>
        </w:rPr>
      </w:pPr>
    </w:p>
    <w:p w14:paraId="43B6CAE8" w14:textId="77777777" w:rsidR="00CA6FCF" w:rsidRDefault="00CA6FCF">
      <w:pPr>
        <w:pStyle w:val="Textoindependiente"/>
        <w:rPr>
          <w:sz w:val="20"/>
        </w:rPr>
      </w:pPr>
    </w:p>
    <w:p w14:paraId="5692FA33" w14:textId="77777777" w:rsidR="00CA6FCF" w:rsidRDefault="00CA6FCF">
      <w:pPr>
        <w:pStyle w:val="Textoindependiente"/>
        <w:rPr>
          <w:sz w:val="20"/>
        </w:rPr>
      </w:pPr>
    </w:p>
    <w:p w14:paraId="5F956126" w14:textId="77777777" w:rsidR="00CA6FCF" w:rsidRDefault="00CA6FCF">
      <w:pPr>
        <w:pStyle w:val="Textoindependiente"/>
        <w:rPr>
          <w:sz w:val="20"/>
        </w:rPr>
      </w:pPr>
    </w:p>
    <w:p w14:paraId="00BCDADB" w14:textId="77777777" w:rsidR="00CA6FCF" w:rsidRDefault="00CA6FCF">
      <w:pPr>
        <w:pStyle w:val="Textoindependiente"/>
        <w:rPr>
          <w:sz w:val="20"/>
        </w:rPr>
      </w:pPr>
    </w:p>
    <w:p w14:paraId="6824B42F" w14:textId="77777777" w:rsidR="00CA6FCF" w:rsidRDefault="00CA6FCF">
      <w:pPr>
        <w:pStyle w:val="Textoindependiente"/>
        <w:rPr>
          <w:sz w:val="20"/>
        </w:rPr>
      </w:pPr>
    </w:p>
    <w:p w14:paraId="63216ADB" w14:textId="77777777" w:rsidR="00CA6FCF" w:rsidRDefault="00CA6FCF">
      <w:pPr>
        <w:pStyle w:val="Textoindependiente"/>
        <w:rPr>
          <w:sz w:val="20"/>
        </w:rPr>
      </w:pPr>
    </w:p>
    <w:p w14:paraId="140D3B90" w14:textId="77777777" w:rsidR="00CA6FCF" w:rsidRDefault="00CA6FCF">
      <w:pPr>
        <w:pStyle w:val="Textoindependiente"/>
        <w:rPr>
          <w:sz w:val="20"/>
        </w:rPr>
      </w:pPr>
    </w:p>
    <w:p w14:paraId="5AB2BB48" w14:textId="77777777" w:rsidR="00CA6FCF" w:rsidRDefault="00CA6FCF">
      <w:pPr>
        <w:pStyle w:val="Textoindependiente"/>
        <w:rPr>
          <w:sz w:val="20"/>
        </w:rPr>
      </w:pPr>
    </w:p>
    <w:p w14:paraId="15C7AD4C" w14:textId="77777777" w:rsidR="00CA6FCF" w:rsidRDefault="00CA6FCF">
      <w:pPr>
        <w:pStyle w:val="Textoindependiente"/>
        <w:rPr>
          <w:sz w:val="20"/>
        </w:rPr>
      </w:pPr>
    </w:p>
    <w:p w14:paraId="285004EB" w14:textId="77777777" w:rsidR="00CA6FCF" w:rsidRDefault="00CA6FCF">
      <w:pPr>
        <w:pStyle w:val="Textoindependiente"/>
        <w:rPr>
          <w:sz w:val="20"/>
        </w:rPr>
      </w:pPr>
    </w:p>
    <w:p w14:paraId="20D969B7" w14:textId="77777777" w:rsidR="00CA6FCF" w:rsidRDefault="00CA6FCF">
      <w:pPr>
        <w:pStyle w:val="Textoindependiente"/>
        <w:rPr>
          <w:sz w:val="20"/>
        </w:rPr>
      </w:pPr>
    </w:p>
    <w:p w14:paraId="4FB949C0" w14:textId="77777777" w:rsidR="00CA6FCF" w:rsidRDefault="00CA6FCF">
      <w:pPr>
        <w:pStyle w:val="Textoindependiente"/>
        <w:rPr>
          <w:sz w:val="20"/>
        </w:rPr>
      </w:pPr>
    </w:p>
    <w:p w14:paraId="124F3467" w14:textId="77777777" w:rsidR="00CA6FCF" w:rsidRDefault="00CA6FCF">
      <w:pPr>
        <w:pStyle w:val="Textoindependiente"/>
        <w:rPr>
          <w:sz w:val="20"/>
        </w:rPr>
      </w:pPr>
    </w:p>
    <w:p w14:paraId="039A0B3E" w14:textId="77777777" w:rsidR="00CA6FCF" w:rsidRDefault="00CA6FCF">
      <w:pPr>
        <w:pStyle w:val="Textoindependiente"/>
        <w:rPr>
          <w:sz w:val="20"/>
        </w:rPr>
      </w:pPr>
    </w:p>
    <w:p w14:paraId="47AE095D" w14:textId="77777777" w:rsidR="00CA6FCF" w:rsidRDefault="00CA6FCF">
      <w:pPr>
        <w:pStyle w:val="Textoindependiente"/>
        <w:rPr>
          <w:sz w:val="20"/>
        </w:rPr>
      </w:pPr>
    </w:p>
    <w:p w14:paraId="7AAA0554" w14:textId="77777777" w:rsidR="00CA6FCF" w:rsidRDefault="00CA6FCF">
      <w:pPr>
        <w:pStyle w:val="Textoindependiente"/>
        <w:rPr>
          <w:sz w:val="20"/>
        </w:rPr>
      </w:pPr>
    </w:p>
    <w:p w14:paraId="679B71D5" w14:textId="77777777" w:rsidR="00CA6FCF" w:rsidRDefault="00CA6FCF">
      <w:pPr>
        <w:pStyle w:val="Textoindependiente"/>
        <w:rPr>
          <w:sz w:val="20"/>
        </w:rPr>
      </w:pPr>
    </w:p>
    <w:p w14:paraId="516ADE35" w14:textId="77777777" w:rsidR="00CA6FCF" w:rsidRDefault="00CA6FCF">
      <w:pPr>
        <w:pStyle w:val="Textoindependiente"/>
        <w:rPr>
          <w:sz w:val="20"/>
        </w:rPr>
      </w:pPr>
    </w:p>
    <w:p w14:paraId="0BDB6B54" w14:textId="77777777" w:rsidR="00CA6FCF" w:rsidRDefault="00CA6FCF">
      <w:pPr>
        <w:pStyle w:val="Textoindependiente"/>
        <w:rPr>
          <w:sz w:val="20"/>
        </w:rPr>
      </w:pPr>
    </w:p>
    <w:p w14:paraId="7BB12158" w14:textId="77777777" w:rsidR="00CA6FCF" w:rsidRDefault="00CA6FCF">
      <w:pPr>
        <w:pStyle w:val="Textoindependiente"/>
        <w:rPr>
          <w:sz w:val="20"/>
        </w:rPr>
      </w:pPr>
    </w:p>
    <w:p w14:paraId="55593723" w14:textId="77777777" w:rsidR="00CA6FCF" w:rsidRDefault="00CA6FCF">
      <w:pPr>
        <w:pStyle w:val="Textoindependiente"/>
        <w:rPr>
          <w:sz w:val="20"/>
        </w:rPr>
      </w:pPr>
    </w:p>
    <w:p w14:paraId="5AA51174" w14:textId="77777777" w:rsidR="00CA6FCF" w:rsidRDefault="00CA6FCF">
      <w:pPr>
        <w:pStyle w:val="Textoindependiente"/>
        <w:rPr>
          <w:sz w:val="20"/>
        </w:rPr>
      </w:pPr>
    </w:p>
    <w:p w14:paraId="099B83E2" w14:textId="77777777" w:rsidR="00CA6FCF" w:rsidRDefault="00CA6FCF">
      <w:pPr>
        <w:pStyle w:val="Textoindependiente"/>
        <w:rPr>
          <w:sz w:val="20"/>
        </w:rPr>
      </w:pPr>
    </w:p>
    <w:p w14:paraId="2E1F286E" w14:textId="77777777" w:rsidR="00CA6FCF" w:rsidRDefault="00CA6FCF">
      <w:pPr>
        <w:pStyle w:val="Textoindependiente"/>
        <w:rPr>
          <w:sz w:val="20"/>
        </w:rPr>
      </w:pPr>
    </w:p>
    <w:p w14:paraId="7C5EC7B1" w14:textId="77777777" w:rsidR="00CA6FCF" w:rsidRDefault="00CA6FCF">
      <w:pPr>
        <w:pStyle w:val="Textoindependiente"/>
        <w:rPr>
          <w:sz w:val="20"/>
        </w:rPr>
      </w:pPr>
    </w:p>
    <w:p w14:paraId="5B1FD94B" w14:textId="77777777" w:rsidR="00CA6FCF" w:rsidRDefault="00CA6FCF">
      <w:pPr>
        <w:pStyle w:val="Textoindependiente"/>
        <w:rPr>
          <w:sz w:val="20"/>
        </w:rPr>
      </w:pPr>
    </w:p>
    <w:p w14:paraId="6FE00628" w14:textId="77777777" w:rsidR="00CA6FCF" w:rsidRDefault="00CA6FCF">
      <w:pPr>
        <w:pStyle w:val="Textoindependiente"/>
        <w:spacing w:before="7"/>
        <w:rPr>
          <w:sz w:val="18"/>
        </w:rPr>
      </w:pPr>
    </w:p>
    <w:p w14:paraId="00592CAA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78131A3F" w14:textId="77777777" w:rsidR="00514BCE" w:rsidRPr="006F7380" w:rsidRDefault="00514BCE" w:rsidP="00514BCE">
      <w:pPr>
        <w:jc w:val="both"/>
        <w:rPr>
          <w:b/>
        </w:rPr>
      </w:pPr>
      <w:bookmarkStart w:id="0" w:name="_TOC_250003"/>
      <w:bookmarkEnd w:id="0"/>
      <w:r>
        <w:rPr>
          <w:b/>
        </w:rPr>
        <w:lastRenderedPageBreak/>
        <w:t>INTRODUCCIÓN</w:t>
      </w:r>
    </w:p>
    <w:p w14:paraId="0FE2CE57" w14:textId="08B5E032" w:rsidR="00514BCE" w:rsidRDefault="00514BCE" w:rsidP="00514BCE">
      <w:pPr>
        <w:adjustRightInd w:val="0"/>
        <w:jc w:val="both"/>
      </w:pPr>
      <w:r w:rsidRPr="006F7380">
        <w:t xml:space="preserve">De conformidad con el </w:t>
      </w:r>
      <w:r>
        <w:t>nombramiento de auditoría O-DIDAI/SUB-</w:t>
      </w:r>
      <w:r w:rsidR="00AC1A76">
        <w:t>219</w:t>
      </w:r>
      <w:r>
        <w:t xml:space="preserve">-2022 de fecha </w:t>
      </w:r>
      <w:r w:rsidR="00AC1A76">
        <w:t>28</w:t>
      </w:r>
      <w:r>
        <w:t xml:space="preserve"> de </w:t>
      </w:r>
      <w:r w:rsidR="00AC1A76">
        <w:t xml:space="preserve">octubre </w:t>
      </w:r>
      <w:r>
        <w:t xml:space="preserve">de 2022, fui nombrado para realizar consejo o consultoría de arqueo de fondo rotativo interno, caja chica y cupones de combustible, en </w:t>
      </w:r>
      <w:r w:rsidR="00AC1A76">
        <w:t xml:space="preserve">la Dirección General de Participación Comunitaria y Servicios de Apoyo </w:t>
      </w:r>
      <w:r>
        <w:t>-</w:t>
      </w:r>
      <w:r w:rsidR="00AC1A76">
        <w:t>DIGEPSA-</w:t>
      </w:r>
      <w:r>
        <w:t>.</w:t>
      </w:r>
    </w:p>
    <w:p w14:paraId="0B128D3E" w14:textId="77777777" w:rsidR="00514BCE" w:rsidRPr="006F7380" w:rsidRDefault="00514BCE" w:rsidP="00514BCE">
      <w:pPr>
        <w:adjustRightInd w:val="0"/>
        <w:jc w:val="both"/>
      </w:pPr>
      <w:r w:rsidRPr="006F7380">
        <w:t xml:space="preserve"> </w:t>
      </w:r>
    </w:p>
    <w:p w14:paraId="61C12863" w14:textId="77777777" w:rsidR="00514BCE" w:rsidRPr="009D7582" w:rsidRDefault="00514BCE" w:rsidP="00514BCE">
      <w:pPr>
        <w:adjustRightInd w:val="0"/>
        <w:jc w:val="both"/>
        <w:rPr>
          <w:b/>
        </w:rPr>
      </w:pPr>
      <w:r w:rsidRPr="009D7582">
        <w:rPr>
          <w:b/>
        </w:rPr>
        <w:t>OBJETIVOS</w:t>
      </w:r>
    </w:p>
    <w:p w14:paraId="4A3745E4" w14:textId="77777777" w:rsidR="00514BCE" w:rsidRDefault="00514BCE" w:rsidP="00514BCE">
      <w:pPr>
        <w:adjustRightInd w:val="0"/>
        <w:jc w:val="both"/>
      </w:pPr>
    </w:p>
    <w:p w14:paraId="45811332" w14:textId="77777777" w:rsidR="00514BCE" w:rsidRPr="009D7582" w:rsidRDefault="00514BCE" w:rsidP="00514BCE">
      <w:pPr>
        <w:adjustRightInd w:val="0"/>
        <w:jc w:val="both"/>
        <w:rPr>
          <w:b/>
        </w:rPr>
      </w:pPr>
      <w:r w:rsidRPr="009D7582">
        <w:rPr>
          <w:b/>
        </w:rPr>
        <w:t>GENERAL</w:t>
      </w:r>
    </w:p>
    <w:p w14:paraId="03CA3711" w14:textId="77777777" w:rsidR="00514BCE" w:rsidRDefault="00514BCE" w:rsidP="00514BCE">
      <w:pPr>
        <w:adjustRightInd w:val="0"/>
        <w:jc w:val="both"/>
      </w:pPr>
    </w:p>
    <w:p w14:paraId="7FAF28BD" w14:textId="77777777" w:rsidR="00514BCE" w:rsidRPr="006F7380" w:rsidRDefault="00514BCE" w:rsidP="00514BCE">
      <w:pPr>
        <w:adjustRightInd w:val="0"/>
        <w:jc w:val="both"/>
      </w:pPr>
      <w:r>
        <w:t xml:space="preserve">Practicar arqueos de fondo rotativo interno, caja chica y cupones de combustible para verificar el cumplimiento de la normativa y procedimientos de control interno. </w:t>
      </w:r>
    </w:p>
    <w:p w14:paraId="7DBAE93F" w14:textId="77777777" w:rsidR="00514BCE" w:rsidRPr="006F7380" w:rsidRDefault="00514BCE" w:rsidP="00514BCE">
      <w:pPr>
        <w:adjustRightInd w:val="0"/>
        <w:jc w:val="both"/>
      </w:pPr>
    </w:p>
    <w:p w14:paraId="06930935" w14:textId="77777777" w:rsidR="00514BCE" w:rsidRPr="006F7380" w:rsidRDefault="00514BCE" w:rsidP="00514BCE">
      <w:pPr>
        <w:adjustRightInd w:val="0"/>
        <w:jc w:val="both"/>
        <w:rPr>
          <w:b/>
        </w:rPr>
      </w:pPr>
      <w:r w:rsidRPr="006F7380">
        <w:rPr>
          <w:b/>
        </w:rPr>
        <w:t>ESPECIFICOS</w:t>
      </w:r>
    </w:p>
    <w:p w14:paraId="51D4D858" w14:textId="77777777" w:rsidR="00514BCE" w:rsidRDefault="00514BCE" w:rsidP="00514BCE">
      <w:pPr>
        <w:adjustRightInd w:val="0"/>
        <w:jc w:val="both"/>
      </w:pPr>
    </w:p>
    <w:p w14:paraId="6D7C9A9B" w14:textId="77777777" w:rsidR="00514BCE" w:rsidRDefault="00514BCE" w:rsidP="00514BCE">
      <w:pPr>
        <w:adjustRightInd w:val="0"/>
        <w:jc w:val="both"/>
      </w:pPr>
      <w:r w:rsidRPr="00581C95">
        <w:t>Verificar el cumplimiento de la normativa legal aplicable y procedimientos internos establecidos en la página del Sistema de Gestión de Calidad.</w:t>
      </w:r>
    </w:p>
    <w:p w14:paraId="60442910" w14:textId="77777777" w:rsidR="00514BCE" w:rsidRPr="00581C95" w:rsidRDefault="00514BCE" w:rsidP="00514BCE">
      <w:pPr>
        <w:adjustRightInd w:val="0"/>
        <w:jc w:val="both"/>
      </w:pPr>
    </w:p>
    <w:p w14:paraId="31E83549" w14:textId="77777777" w:rsidR="00514BCE" w:rsidRDefault="00514BCE" w:rsidP="00514BCE">
      <w:pPr>
        <w:adjustRightInd w:val="0"/>
        <w:jc w:val="both"/>
      </w:pPr>
      <w:r w:rsidRPr="00581C95">
        <w:t>Verificar si se utiliza el Sistema de Gestión Financiera para registro de las operaciones de caja y bancos.</w:t>
      </w:r>
    </w:p>
    <w:p w14:paraId="34510FA1" w14:textId="77777777" w:rsidR="00514BCE" w:rsidRPr="00581C95" w:rsidRDefault="00514BCE" w:rsidP="00514BCE">
      <w:pPr>
        <w:adjustRightInd w:val="0"/>
        <w:jc w:val="both"/>
      </w:pPr>
    </w:p>
    <w:p w14:paraId="24D172B9" w14:textId="44669C0E" w:rsidR="00514BCE" w:rsidRDefault="00514BCE" w:rsidP="00514BCE">
      <w:pPr>
        <w:adjustRightInd w:val="0"/>
        <w:jc w:val="both"/>
      </w:pPr>
      <w:r w:rsidRPr="00581C95">
        <w:t>Verificar si el personal que tiene a cargo los fondos está debidamente nombrado.</w:t>
      </w:r>
    </w:p>
    <w:p w14:paraId="122AF7E1" w14:textId="77777777" w:rsidR="00514BCE" w:rsidRPr="00581C95" w:rsidRDefault="00514BCE" w:rsidP="00514BCE">
      <w:pPr>
        <w:adjustRightInd w:val="0"/>
        <w:jc w:val="both"/>
      </w:pPr>
    </w:p>
    <w:p w14:paraId="15742FF5" w14:textId="77777777" w:rsidR="00514BCE" w:rsidRDefault="00514BCE" w:rsidP="00514BCE">
      <w:pPr>
        <w:adjustRightInd w:val="0"/>
        <w:jc w:val="both"/>
      </w:pPr>
      <w:r w:rsidRPr="00581C95">
        <w:t>Practicar arqueos en la fecha de presentación a la unidad ejecutora.</w:t>
      </w:r>
    </w:p>
    <w:p w14:paraId="25608CD8" w14:textId="77777777" w:rsidR="00514BCE" w:rsidRPr="00581C95" w:rsidRDefault="00514BCE" w:rsidP="00514BCE">
      <w:pPr>
        <w:adjustRightInd w:val="0"/>
        <w:jc w:val="both"/>
      </w:pPr>
    </w:p>
    <w:p w14:paraId="0407EED9" w14:textId="77777777" w:rsidR="00514BCE" w:rsidRPr="00581C95" w:rsidRDefault="00514BCE" w:rsidP="00514BCE">
      <w:pPr>
        <w:adjustRightInd w:val="0"/>
        <w:jc w:val="both"/>
      </w:pPr>
      <w:r w:rsidRPr="00581C95">
        <w:t>Verificar si el personal responsable cauciona fianza.</w:t>
      </w:r>
    </w:p>
    <w:p w14:paraId="3F62AD09" w14:textId="77777777" w:rsidR="00514BCE" w:rsidRPr="008542A2" w:rsidRDefault="00514BCE" w:rsidP="00514BCE">
      <w:pPr>
        <w:pStyle w:val="Prrafodelista"/>
        <w:adjustRightInd w:val="0"/>
        <w:jc w:val="both"/>
      </w:pPr>
    </w:p>
    <w:p w14:paraId="47950092" w14:textId="77777777" w:rsidR="00514BCE" w:rsidRPr="006F7380" w:rsidRDefault="00514BCE" w:rsidP="00514BCE">
      <w:pPr>
        <w:adjustRightInd w:val="0"/>
        <w:jc w:val="both"/>
        <w:rPr>
          <w:b/>
        </w:rPr>
      </w:pPr>
      <w:r w:rsidRPr="006F7380">
        <w:rPr>
          <w:b/>
        </w:rPr>
        <w:t>ALCANCE</w:t>
      </w:r>
      <w:r>
        <w:rPr>
          <w:b/>
        </w:rPr>
        <w:t xml:space="preserve"> DE LA ACTIVIDAD</w:t>
      </w:r>
    </w:p>
    <w:p w14:paraId="3A43B3C3" w14:textId="77777777" w:rsidR="00514BCE" w:rsidRPr="006F7380" w:rsidRDefault="00514BCE" w:rsidP="00514BCE">
      <w:pPr>
        <w:adjustRightInd w:val="0"/>
        <w:jc w:val="both"/>
      </w:pPr>
    </w:p>
    <w:p w14:paraId="525407B2" w14:textId="5CA953E8" w:rsidR="00514BCE" w:rsidRDefault="00514BCE" w:rsidP="00514BCE">
      <w:pPr>
        <w:adjustRightInd w:val="0"/>
        <w:jc w:val="both"/>
      </w:pPr>
      <w:r>
        <w:t xml:space="preserve">Se practicó arqueo del fondo rotativo interno para gastos de funcionamiento, constituido según resolución No.170 de fecha 18 de febrero de 2022, por la cantidad de Q. </w:t>
      </w:r>
      <w:r w:rsidR="003852B4">
        <w:t>10</w:t>
      </w:r>
      <w:r>
        <w:t>0,000.00; Dicho fondo es resguardado en la cuenta bancaria No. 3</w:t>
      </w:r>
      <w:r w:rsidR="003852B4">
        <w:t>033375863</w:t>
      </w:r>
      <w:r>
        <w:t xml:space="preserve"> del Banco de Desarrollo Rural –BANRURAL-, denominada FONDO ROTATIVO </w:t>
      </w:r>
      <w:r w:rsidR="00A629B1">
        <w:t>INTERNO DIGEPSA MINEDUC</w:t>
      </w:r>
      <w:r>
        <w:t xml:space="preserve">; se constató, que </w:t>
      </w:r>
      <w:r w:rsidR="00A629B1">
        <w:t>la Dirección General de Participación Comunitaria y Servicios de Apoyo</w:t>
      </w:r>
      <w:r>
        <w:t xml:space="preserve"> </w:t>
      </w:r>
      <w:r w:rsidR="00BD694D">
        <w:t xml:space="preserve">               </w:t>
      </w:r>
      <w:r w:rsidR="006F4EE1">
        <w:t>-</w:t>
      </w:r>
      <w:r w:rsidR="00A629B1">
        <w:t>DIGEPSA</w:t>
      </w:r>
      <w:r>
        <w:t xml:space="preserve">- cuenta con fondo de caja chica por la cantidad de Q. </w:t>
      </w:r>
      <w:r w:rsidR="00A629B1">
        <w:t>2</w:t>
      </w:r>
      <w:r>
        <w:t xml:space="preserve">,000.00. Se efectuó arqueo de cupones de combustible con fecha </w:t>
      </w:r>
      <w:r w:rsidR="00A629B1">
        <w:t>07</w:t>
      </w:r>
      <w:r>
        <w:t xml:space="preserve"> de</w:t>
      </w:r>
      <w:r w:rsidR="00A629B1">
        <w:t xml:space="preserve"> noviembre </w:t>
      </w:r>
      <w:r>
        <w:t xml:space="preserve">de 2022. </w:t>
      </w:r>
      <w:r w:rsidR="003726D3">
        <w:t xml:space="preserve">También se </w:t>
      </w:r>
      <w:r w:rsidR="00BD694D">
        <w:t>confirmó</w:t>
      </w:r>
      <w:r w:rsidR="003726D3">
        <w:t xml:space="preserve"> el uso del sistema de gestión f</w:t>
      </w:r>
      <w:r>
        <w:t xml:space="preserve">inanciera. Así mismo, se verificó que las responsables de los fondos estén debidamente nombradas para su manejo y que caucionen su responsabilidad mediante el pago de fianza.    </w:t>
      </w:r>
    </w:p>
    <w:p w14:paraId="7CB818EB" w14:textId="77777777" w:rsidR="00514BCE" w:rsidRPr="006F7380" w:rsidRDefault="00514BCE" w:rsidP="00514BCE">
      <w:pPr>
        <w:adjustRightInd w:val="0"/>
        <w:jc w:val="both"/>
        <w:rPr>
          <w:b/>
          <w:bCs/>
        </w:rPr>
      </w:pPr>
      <w:r>
        <w:t xml:space="preserve">   </w:t>
      </w:r>
    </w:p>
    <w:p w14:paraId="3DA0E6BB" w14:textId="77777777" w:rsidR="00514BCE" w:rsidRPr="006F7380" w:rsidRDefault="00514BCE" w:rsidP="00514BCE">
      <w:pPr>
        <w:adjustRightInd w:val="0"/>
        <w:rPr>
          <w:b/>
          <w:bCs/>
        </w:rPr>
      </w:pPr>
      <w:r>
        <w:rPr>
          <w:b/>
          <w:bCs/>
        </w:rPr>
        <w:t>RESULTADOS DE LA ACTIVIDAD</w:t>
      </w:r>
    </w:p>
    <w:p w14:paraId="60C07B68" w14:textId="77777777" w:rsidR="00514BCE" w:rsidRDefault="00514BCE" w:rsidP="00514BCE">
      <w:pPr>
        <w:adjustRightInd w:val="0"/>
        <w:jc w:val="both"/>
      </w:pPr>
    </w:p>
    <w:p w14:paraId="534B3F10" w14:textId="77777777" w:rsidR="00514BCE" w:rsidRDefault="00514BCE" w:rsidP="00514BCE">
      <w:pPr>
        <w:adjustRightInd w:val="0"/>
        <w:jc w:val="both"/>
      </w:pPr>
      <w:r>
        <w:t>Los resultados del trabajo realizado se describen a continuación:</w:t>
      </w:r>
    </w:p>
    <w:p w14:paraId="08BF3370" w14:textId="77777777" w:rsidR="00514BCE" w:rsidRDefault="00514BCE" w:rsidP="00514BCE">
      <w:pPr>
        <w:adjustRightInd w:val="0"/>
        <w:jc w:val="both"/>
      </w:pPr>
    </w:p>
    <w:p w14:paraId="2A25155F" w14:textId="77777777" w:rsidR="00514BCE" w:rsidRPr="00CC3436" w:rsidRDefault="00514BCE" w:rsidP="00514BCE">
      <w:pPr>
        <w:adjustRightInd w:val="0"/>
        <w:jc w:val="both"/>
        <w:rPr>
          <w:b/>
        </w:rPr>
      </w:pPr>
      <w:r w:rsidRPr="00CC3436">
        <w:rPr>
          <w:b/>
        </w:rPr>
        <w:t>FONDO ROTATIVO INTERNO</w:t>
      </w:r>
    </w:p>
    <w:p w14:paraId="6BB1B480" w14:textId="6D13A2E7" w:rsidR="00514BCE" w:rsidRDefault="00514BCE" w:rsidP="00514BCE">
      <w:pPr>
        <w:adjustRightInd w:val="0"/>
        <w:jc w:val="both"/>
      </w:pPr>
      <w:r>
        <w:t>Se determinó el uso del sistema de gestión financiera y módulo de cuenta corriente, para el fondo rotativo interno para gastos de funcionamiento de</w:t>
      </w:r>
      <w:r w:rsidR="00A629B1">
        <w:t xml:space="preserve"> </w:t>
      </w:r>
      <w:r>
        <w:t>l</w:t>
      </w:r>
      <w:r w:rsidR="00A629B1">
        <w:t>a</w:t>
      </w:r>
      <w:r w:rsidR="003C52E8">
        <w:t xml:space="preserve"> Dirección General de Participación Comunitaria y Servicios de Apoyo -DIGEPSA-</w:t>
      </w:r>
      <w:r>
        <w:t>.</w:t>
      </w:r>
    </w:p>
    <w:p w14:paraId="1B668E49" w14:textId="77777777" w:rsidR="00514BCE" w:rsidRDefault="00514BCE" w:rsidP="00514BCE">
      <w:pPr>
        <w:adjustRightInd w:val="0"/>
        <w:jc w:val="both"/>
      </w:pPr>
    </w:p>
    <w:p w14:paraId="486D3CB1" w14:textId="7637E0CB" w:rsidR="00514BCE" w:rsidRDefault="00514BCE" w:rsidP="00514BCE">
      <w:pPr>
        <w:adjustRightInd w:val="0"/>
        <w:jc w:val="both"/>
      </w:pPr>
      <w:r>
        <w:t>Al 0</w:t>
      </w:r>
      <w:r w:rsidR="003852B4">
        <w:t>3</w:t>
      </w:r>
      <w:r>
        <w:t xml:space="preserve"> de </w:t>
      </w:r>
      <w:r w:rsidR="003852B4">
        <w:t xml:space="preserve">noviembre </w:t>
      </w:r>
      <w:r>
        <w:t xml:space="preserve">de 2022 el arqueo del fondo rotativo interno para gastos de </w:t>
      </w:r>
      <w:r w:rsidR="003852B4">
        <w:t>funcionamiento</w:t>
      </w:r>
      <w:r>
        <w:t xml:space="preserve"> estaba integrado de la siguiente forma:</w:t>
      </w:r>
    </w:p>
    <w:p w14:paraId="21BE38A8" w14:textId="77777777" w:rsidR="00514BCE" w:rsidRDefault="00514BCE" w:rsidP="00514BCE">
      <w:pPr>
        <w:adjustRightInd w:val="0"/>
        <w:jc w:val="both"/>
      </w:pPr>
    </w:p>
    <w:p w14:paraId="19903D28" w14:textId="77777777" w:rsidR="00514BCE" w:rsidRDefault="00514BCE" w:rsidP="00514BCE">
      <w:pPr>
        <w:adjustRightInd w:val="0"/>
        <w:jc w:val="both"/>
      </w:pPr>
    </w:p>
    <w:p w14:paraId="4D86DCE1" w14:textId="77777777" w:rsidR="00514BCE" w:rsidRDefault="00514BCE" w:rsidP="00514BCE">
      <w:pPr>
        <w:adjustRightInd w:val="0"/>
        <w:jc w:val="both"/>
      </w:pPr>
    </w:p>
    <w:p w14:paraId="49D48A2A" w14:textId="77777777" w:rsidR="002E0F12" w:rsidRDefault="002E0F12" w:rsidP="00514BCE">
      <w:pPr>
        <w:adjustRightInd w:val="0"/>
        <w:jc w:val="both"/>
      </w:pPr>
    </w:p>
    <w:p w14:paraId="79C552B5" w14:textId="77777777" w:rsidR="002E0F12" w:rsidRDefault="002E0F12" w:rsidP="00514BCE">
      <w:pPr>
        <w:adjustRightInd w:val="0"/>
        <w:jc w:val="both"/>
      </w:pPr>
    </w:p>
    <w:p w14:paraId="2202E7B6" w14:textId="77777777" w:rsidR="002E0F12" w:rsidRDefault="002E0F12" w:rsidP="00514BCE">
      <w:pPr>
        <w:adjustRightInd w:val="0"/>
        <w:jc w:val="both"/>
      </w:pPr>
    </w:p>
    <w:p w14:paraId="647FF1A1" w14:textId="618BF3E7" w:rsidR="00514BCE" w:rsidRPr="009004E1" w:rsidRDefault="003852B4" w:rsidP="00514BCE">
      <w:pPr>
        <w:adjustRightInd w:val="0"/>
        <w:jc w:val="center"/>
        <w:rPr>
          <w:b/>
        </w:rPr>
      </w:pPr>
      <w:r>
        <w:rPr>
          <w:b/>
        </w:rPr>
        <w:t xml:space="preserve">DIRECCION GENERAL DE PARTICIPACION COMUNITARIA Y SERVICIOS DE </w:t>
      </w:r>
      <w:proofErr w:type="gramStart"/>
      <w:r>
        <w:rPr>
          <w:b/>
        </w:rPr>
        <w:t xml:space="preserve">APOYO </w:t>
      </w:r>
      <w:r w:rsidR="00514BCE">
        <w:rPr>
          <w:b/>
        </w:rPr>
        <w:t xml:space="preserve"> -</w:t>
      </w:r>
      <w:proofErr w:type="gramEnd"/>
      <w:r>
        <w:rPr>
          <w:b/>
        </w:rPr>
        <w:t>DIGEPSA</w:t>
      </w:r>
      <w:r w:rsidR="00514BCE">
        <w:rPr>
          <w:b/>
        </w:rPr>
        <w:t>-</w:t>
      </w:r>
    </w:p>
    <w:p w14:paraId="1B659664" w14:textId="4F95702B" w:rsidR="00514BCE" w:rsidRPr="009004E1" w:rsidRDefault="00514BCE" w:rsidP="00514BCE">
      <w:pPr>
        <w:adjustRightInd w:val="0"/>
        <w:jc w:val="center"/>
        <w:rPr>
          <w:b/>
        </w:rPr>
      </w:pPr>
      <w:r w:rsidRPr="009004E1">
        <w:rPr>
          <w:b/>
        </w:rPr>
        <w:t xml:space="preserve">ARQUEO DEL FONDO ROTATIVO INTERNO PARA GASTOS DE FUNCIONAMIENTO AL </w:t>
      </w:r>
      <w:r>
        <w:rPr>
          <w:b/>
        </w:rPr>
        <w:t>0</w:t>
      </w:r>
      <w:r w:rsidR="003852B4">
        <w:rPr>
          <w:b/>
        </w:rPr>
        <w:t>3</w:t>
      </w:r>
      <w:r>
        <w:rPr>
          <w:b/>
        </w:rPr>
        <w:t xml:space="preserve"> </w:t>
      </w:r>
      <w:r w:rsidRPr="009004E1">
        <w:rPr>
          <w:b/>
        </w:rPr>
        <w:t xml:space="preserve">DE </w:t>
      </w:r>
      <w:r w:rsidR="003852B4">
        <w:rPr>
          <w:b/>
        </w:rPr>
        <w:t>NOVIEMBRE</w:t>
      </w:r>
      <w:r>
        <w:rPr>
          <w:b/>
        </w:rPr>
        <w:t xml:space="preserve"> </w:t>
      </w:r>
      <w:r w:rsidRPr="009004E1">
        <w:rPr>
          <w:b/>
        </w:rPr>
        <w:t>DE 202</w:t>
      </w:r>
      <w:r>
        <w:rPr>
          <w:b/>
        </w:rPr>
        <w:t>2</w:t>
      </w:r>
    </w:p>
    <w:p w14:paraId="23473932" w14:textId="77777777" w:rsidR="00514BCE" w:rsidRDefault="00514BCE" w:rsidP="00514BCE">
      <w:pPr>
        <w:adjustRightInd w:val="0"/>
        <w:jc w:val="center"/>
        <w:rPr>
          <w:b/>
        </w:rPr>
      </w:pPr>
      <w:r>
        <w:rPr>
          <w:b/>
        </w:rPr>
        <w:t>(Cifras expresadas en quetzales)</w:t>
      </w:r>
    </w:p>
    <w:p w14:paraId="7E69F5D9" w14:textId="77777777" w:rsidR="00514BCE" w:rsidRPr="00895589" w:rsidRDefault="00514BCE" w:rsidP="00514BCE">
      <w:pPr>
        <w:adjustRightInd w:val="0"/>
        <w:jc w:val="center"/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99"/>
        <w:gridCol w:w="1177"/>
        <w:gridCol w:w="1130"/>
        <w:gridCol w:w="623"/>
      </w:tblGrid>
      <w:tr w:rsidR="00514BCE" w:rsidRPr="00895589" w14:paraId="7EA254A7" w14:textId="77777777" w:rsidTr="0094555B">
        <w:tc>
          <w:tcPr>
            <w:tcW w:w="3359" w:type="pct"/>
            <w:shd w:val="clear" w:color="auto" w:fill="D9D9D9" w:themeFill="background1" w:themeFillShade="D9"/>
          </w:tcPr>
          <w:p w14:paraId="420978FF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0073AF86" w14:textId="4E41CB95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712155D5" w14:textId="23244E4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26E6C863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Nota</w:t>
            </w:r>
          </w:p>
        </w:tc>
      </w:tr>
      <w:tr w:rsidR="00514BCE" w:rsidRPr="00895589" w14:paraId="6D5F8CA5" w14:textId="77777777" w:rsidTr="0094555B">
        <w:tc>
          <w:tcPr>
            <w:tcW w:w="3359" w:type="pct"/>
          </w:tcPr>
          <w:p w14:paraId="349690F1" w14:textId="77777777" w:rsidR="00514BCE" w:rsidRPr="00895589" w:rsidRDefault="003726D3" w:rsidP="0094555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Constitución de fondo rotativo</w:t>
            </w:r>
          </w:p>
        </w:tc>
        <w:tc>
          <w:tcPr>
            <w:tcW w:w="659" w:type="pct"/>
          </w:tcPr>
          <w:p w14:paraId="0F433436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2036BA1C" w14:textId="73A33429" w:rsidR="00514BCE" w:rsidRPr="00940B3E" w:rsidRDefault="003741FD" w:rsidP="00945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514BCE" w:rsidRPr="00940B3E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349" w:type="pct"/>
          </w:tcPr>
          <w:p w14:paraId="6E8E8A61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14BCE" w:rsidRPr="00895589" w14:paraId="5FC74E03" w14:textId="77777777" w:rsidTr="0094555B">
        <w:tc>
          <w:tcPr>
            <w:tcW w:w="3359" w:type="pct"/>
          </w:tcPr>
          <w:p w14:paraId="05A374E1" w14:textId="77777777" w:rsidR="00514BCE" w:rsidRPr="00895589" w:rsidRDefault="00514BCE" w:rsidP="004176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 </w:t>
            </w:r>
            <w:r w:rsidR="0041760E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astos de funcionamiento, resolución No. 170</w:t>
            </w:r>
          </w:p>
        </w:tc>
        <w:tc>
          <w:tcPr>
            <w:tcW w:w="659" w:type="pct"/>
            <w:vAlign w:val="center"/>
          </w:tcPr>
          <w:p w14:paraId="6AC7949B" w14:textId="78D22805" w:rsidR="00514BCE" w:rsidRPr="00895589" w:rsidRDefault="003741FD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14BCE">
              <w:rPr>
                <w:sz w:val="18"/>
                <w:szCs w:val="18"/>
              </w:rPr>
              <w:t>0,000.00</w:t>
            </w:r>
          </w:p>
        </w:tc>
        <w:tc>
          <w:tcPr>
            <w:tcW w:w="633" w:type="pct"/>
            <w:vAlign w:val="center"/>
          </w:tcPr>
          <w:p w14:paraId="059CF958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72166255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4BCE" w:rsidRPr="00895589" w14:paraId="239CC229" w14:textId="77777777" w:rsidTr="0094555B">
        <w:tc>
          <w:tcPr>
            <w:tcW w:w="3359" w:type="pct"/>
          </w:tcPr>
          <w:p w14:paraId="7C08C218" w14:textId="77777777" w:rsidR="00514BCE" w:rsidRPr="00B22A86" w:rsidRDefault="00514BCE" w:rsidP="0094555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Banco, efectivo </w:t>
            </w:r>
            <w:r w:rsidRPr="00B22A86">
              <w:rPr>
                <w:b/>
                <w:sz w:val="18"/>
                <w:szCs w:val="18"/>
              </w:rPr>
              <w:t>y documentos de legítimo abono</w:t>
            </w:r>
          </w:p>
        </w:tc>
        <w:tc>
          <w:tcPr>
            <w:tcW w:w="659" w:type="pct"/>
            <w:vAlign w:val="center"/>
          </w:tcPr>
          <w:p w14:paraId="770B2055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00E44269" w14:textId="34DB9C1D" w:rsidR="00514BCE" w:rsidRPr="00F81139" w:rsidRDefault="006B3F44" w:rsidP="00945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514BCE">
              <w:rPr>
                <w:b/>
                <w:sz w:val="18"/>
                <w:szCs w:val="18"/>
              </w:rPr>
              <w:t>0</w:t>
            </w:r>
            <w:r w:rsidR="00514BCE" w:rsidRPr="00F81139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349" w:type="pct"/>
            <w:vAlign w:val="center"/>
          </w:tcPr>
          <w:p w14:paraId="4FD46E6A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14BCE" w:rsidRPr="00895589" w14:paraId="5C4E4A1D" w14:textId="77777777" w:rsidTr="0094555B">
        <w:tc>
          <w:tcPr>
            <w:tcW w:w="3359" w:type="pct"/>
          </w:tcPr>
          <w:p w14:paraId="4FD1622E" w14:textId="242449B8" w:rsidR="00514BCE" w:rsidRPr="00895589" w:rsidRDefault="00514BCE" w:rsidP="004176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Saldo según banco al </w:t>
            </w:r>
            <w:r w:rsidR="003741F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3/</w:t>
            </w:r>
            <w:r w:rsidR="003741FD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/202</w:t>
            </w:r>
            <w:r w:rsidR="003741F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(conciliado) </w:t>
            </w:r>
          </w:p>
        </w:tc>
        <w:tc>
          <w:tcPr>
            <w:tcW w:w="659" w:type="pct"/>
            <w:vAlign w:val="center"/>
          </w:tcPr>
          <w:p w14:paraId="2EB05CE6" w14:textId="16D4A0B5" w:rsidR="00514BCE" w:rsidRPr="00895589" w:rsidRDefault="003741FD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514BC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650.47</w:t>
            </w:r>
          </w:p>
        </w:tc>
        <w:tc>
          <w:tcPr>
            <w:tcW w:w="633" w:type="pct"/>
            <w:vAlign w:val="center"/>
          </w:tcPr>
          <w:p w14:paraId="3EE8A365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7DD12A3C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14BCE" w:rsidRPr="00895589" w14:paraId="03FF0BFD" w14:textId="77777777" w:rsidTr="0094555B">
        <w:tc>
          <w:tcPr>
            <w:tcW w:w="3359" w:type="pct"/>
          </w:tcPr>
          <w:p w14:paraId="427E205D" w14:textId="77777777" w:rsidR="00514BCE" w:rsidRPr="00895589" w:rsidRDefault="00514BCE" w:rsidP="009455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Documentos de legitimo abono FRI</w:t>
            </w:r>
          </w:p>
        </w:tc>
        <w:tc>
          <w:tcPr>
            <w:tcW w:w="659" w:type="pct"/>
            <w:vAlign w:val="center"/>
          </w:tcPr>
          <w:p w14:paraId="7BAC63DA" w14:textId="1D317122" w:rsidR="00514BCE" w:rsidRPr="00895589" w:rsidRDefault="003741FD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4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,349.53</w:t>
            </w:r>
          </w:p>
        </w:tc>
        <w:tc>
          <w:tcPr>
            <w:tcW w:w="633" w:type="pct"/>
            <w:vAlign w:val="center"/>
          </w:tcPr>
          <w:p w14:paraId="1F7F9AC2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7D60C1FD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14BCE" w:rsidRPr="00895589" w14:paraId="6E5BD3C5" w14:textId="77777777" w:rsidTr="0094555B">
        <w:tc>
          <w:tcPr>
            <w:tcW w:w="3359" w:type="pct"/>
          </w:tcPr>
          <w:p w14:paraId="6A7B8CCC" w14:textId="77777777" w:rsidR="00514BCE" w:rsidRDefault="00514BCE" w:rsidP="009455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Efectivo en caja chica</w:t>
            </w:r>
          </w:p>
        </w:tc>
        <w:tc>
          <w:tcPr>
            <w:tcW w:w="659" w:type="pct"/>
            <w:vAlign w:val="center"/>
          </w:tcPr>
          <w:p w14:paraId="20D56E8A" w14:textId="000DCA30" w:rsidR="00514BCE" w:rsidRDefault="003741FD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44">
              <w:rPr>
                <w:sz w:val="18"/>
                <w:szCs w:val="18"/>
              </w:rPr>
              <w:t>,758.50</w:t>
            </w:r>
          </w:p>
        </w:tc>
        <w:tc>
          <w:tcPr>
            <w:tcW w:w="633" w:type="pct"/>
            <w:vAlign w:val="center"/>
          </w:tcPr>
          <w:p w14:paraId="36FE6459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585C775B" w14:textId="77777777" w:rsidR="00514BCE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14BCE" w:rsidRPr="00895589" w14:paraId="02D7F68A" w14:textId="77777777" w:rsidTr="0094555B">
        <w:tc>
          <w:tcPr>
            <w:tcW w:w="3359" w:type="pct"/>
          </w:tcPr>
          <w:p w14:paraId="53D8141E" w14:textId="77777777" w:rsidR="00514BCE" w:rsidRDefault="00514BCE" w:rsidP="009455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Documentos de legitimo abono caja chica</w:t>
            </w:r>
          </w:p>
        </w:tc>
        <w:tc>
          <w:tcPr>
            <w:tcW w:w="659" w:type="pct"/>
            <w:vAlign w:val="center"/>
          </w:tcPr>
          <w:p w14:paraId="23889DF0" w14:textId="20DEEDCC" w:rsidR="00514BCE" w:rsidRDefault="006B3F44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241.50</w:t>
            </w:r>
          </w:p>
        </w:tc>
        <w:tc>
          <w:tcPr>
            <w:tcW w:w="633" w:type="pct"/>
            <w:vAlign w:val="center"/>
          </w:tcPr>
          <w:p w14:paraId="4B1FCE43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1E38C485" w14:textId="77777777" w:rsidR="00514BCE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14BCE" w:rsidRPr="00895589" w14:paraId="3029287D" w14:textId="77777777" w:rsidTr="0094555B">
        <w:tc>
          <w:tcPr>
            <w:tcW w:w="3359" w:type="pct"/>
          </w:tcPr>
          <w:p w14:paraId="3219C5E7" w14:textId="77777777" w:rsidR="00514BCE" w:rsidRPr="00F81139" w:rsidRDefault="00514BCE" w:rsidP="0094555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81139">
              <w:rPr>
                <w:b/>
                <w:sz w:val="18"/>
                <w:szCs w:val="18"/>
              </w:rPr>
              <w:t xml:space="preserve">Diferencia </w:t>
            </w:r>
          </w:p>
        </w:tc>
        <w:tc>
          <w:tcPr>
            <w:tcW w:w="659" w:type="pct"/>
            <w:vAlign w:val="center"/>
          </w:tcPr>
          <w:p w14:paraId="21CA0A7C" w14:textId="77777777" w:rsidR="00514BCE" w:rsidRPr="00F81139" w:rsidRDefault="00514BCE" w:rsidP="00945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F01002D" w14:textId="77777777" w:rsidR="00514BCE" w:rsidRPr="00F81139" w:rsidRDefault="00514BCE" w:rsidP="00945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81139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349" w:type="pct"/>
            <w:vAlign w:val="center"/>
          </w:tcPr>
          <w:p w14:paraId="4470A2FA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6030AD1" w14:textId="5D93971C" w:rsidR="00514BCE" w:rsidRPr="00940B3E" w:rsidRDefault="00514BCE" w:rsidP="00514BCE">
      <w:pPr>
        <w:adjustRightInd w:val="0"/>
        <w:jc w:val="both"/>
        <w:rPr>
          <w:sz w:val="18"/>
          <w:szCs w:val="18"/>
        </w:rPr>
      </w:pPr>
      <w:r w:rsidRPr="00940B3E">
        <w:rPr>
          <w:sz w:val="18"/>
          <w:szCs w:val="18"/>
        </w:rPr>
        <w:t>Fuente: Documentación e información proporcio</w:t>
      </w:r>
      <w:r>
        <w:rPr>
          <w:sz w:val="18"/>
          <w:szCs w:val="18"/>
        </w:rPr>
        <w:t>nada por los responsables de</w:t>
      </w:r>
      <w:r w:rsidR="006B3F44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="006B3F44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="006B3F44">
        <w:rPr>
          <w:sz w:val="18"/>
          <w:szCs w:val="18"/>
        </w:rPr>
        <w:t>Dirección General de Participación Comunitaria y Servicios de Apoyo</w:t>
      </w:r>
      <w:r w:rsidR="0041760E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6B3F44">
        <w:rPr>
          <w:sz w:val="18"/>
          <w:szCs w:val="18"/>
        </w:rPr>
        <w:t>DIGEPSA</w:t>
      </w:r>
      <w:r>
        <w:rPr>
          <w:sz w:val="18"/>
          <w:szCs w:val="18"/>
        </w:rPr>
        <w:t>-</w:t>
      </w:r>
      <w:r w:rsidRPr="00940B3E">
        <w:rPr>
          <w:sz w:val="18"/>
          <w:szCs w:val="18"/>
        </w:rPr>
        <w:t xml:space="preserve"> </w:t>
      </w:r>
    </w:p>
    <w:p w14:paraId="2DC2D1BD" w14:textId="77777777" w:rsidR="00514BCE" w:rsidRDefault="00514BCE" w:rsidP="00514BCE">
      <w:pPr>
        <w:adjustRightInd w:val="0"/>
        <w:jc w:val="both"/>
      </w:pPr>
    </w:p>
    <w:p w14:paraId="6314FB2C" w14:textId="77777777" w:rsidR="00514BCE" w:rsidRPr="0084052B" w:rsidRDefault="00514BCE" w:rsidP="00514BCE">
      <w:pPr>
        <w:adjustRightInd w:val="0"/>
        <w:jc w:val="both"/>
        <w:rPr>
          <w:b/>
        </w:rPr>
      </w:pPr>
      <w:r w:rsidRPr="0084052B">
        <w:rPr>
          <w:b/>
        </w:rPr>
        <w:t>NOTAS</w:t>
      </w:r>
    </w:p>
    <w:p w14:paraId="36F4BE45" w14:textId="77777777" w:rsidR="00514BCE" w:rsidRDefault="00514BCE" w:rsidP="00514BCE">
      <w:pPr>
        <w:adjustRightInd w:val="0"/>
        <w:jc w:val="both"/>
      </w:pPr>
    </w:p>
    <w:p w14:paraId="66343D7F" w14:textId="77777777" w:rsidR="00514BCE" w:rsidRPr="0084052B" w:rsidRDefault="00514BCE" w:rsidP="00514BCE">
      <w:pPr>
        <w:adjustRightInd w:val="0"/>
        <w:jc w:val="both"/>
        <w:rPr>
          <w:b/>
        </w:rPr>
      </w:pPr>
      <w:r w:rsidRPr="0084052B">
        <w:rPr>
          <w:b/>
        </w:rPr>
        <w:t>Nota 1</w:t>
      </w:r>
    </w:p>
    <w:p w14:paraId="7D282892" w14:textId="181B6B14" w:rsidR="00514BCE" w:rsidRDefault="00514BCE" w:rsidP="00C80463">
      <w:pPr>
        <w:adjustRightInd w:val="0"/>
        <w:jc w:val="both"/>
      </w:pPr>
      <w:r>
        <w:t>El fondo rotativo para gastos de funcionamiento constituido es administrado por</w:t>
      </w:r>
      <w:r w:rsidR="00C80463">
        <w:t xml:space="preserve"> la Perito Contador </w:t>
      </w:r>
      <w:r w:rsidR="006B3F44">
        <w:t xml:space="preserve">Glenda Zuliana </w:t>
      </w:r>
      <w:r w:rsidR="00C80463">
        <w:t>López</w:t>
      </w:r>
      <w:r w:rsidR="006B3F44">
        <w:t xml:space="preserve"> Castillo</w:t>
      </w:r>
      <w:r>
        <w:t>, A</w:t>
      </w:r>
      <w:r w:rsidR="00C80463">
        <w:t xml:space="preserve">nalista </w:t>
      </w:r>
      <w:r>
        <w:t>Financiero</w:t>
      </w:r>
      <w:r w:rsidR="00C80463">
        <w:t xml:space="preserve"> quien </w:t>
      </w:r>
      <w:r>
        <w:t xml:space="preserve">cauciona su responsabilidad mediante el pago de fianza. Se encuentra nombrada por </w:t>
      </w:r>
      <w:r w:rsidR="00C80463">
        <w:t xml:space="preserve">la </w:t>
      </w:r>
      <w:r>
        <w:t>director</w:t>
      </w:r>
      <w:r w:rsidR="00C80463">
        <w:t>a</w:t>
      </w:r>
      <w:r>
        <w:t xml:space="preserve"> de</w:t>
      </w:r>
      <w:r w:rsidR="00C80463">
        <w:t xml:space="preserve"> </w:t>
      </w:r>
      <w:r>
        <w:t>l</w:t>
      </w:r>
      <w:r w:rsidR="00C80463">
        <w:t>a</w:t>
      </w:r>
      <w:r>
        <w:t xml:space="preserve"> </w:t>
      </w:r>
      <w:r w:rsidR="00C80463">
        <w:t>Dirección General de Participación Comunitaria y Servicios de Apoyo -DIGEPSA-, mediante oficio No. DIGEPSA-20-2021 de fecha 07 de enero de 2021.</w:t>
      </w:r>
    </w:p>
    <w:p w14:paraId="08A9576A" w14:textId="77777777" w:rsidR="00514BCE" w:rsidRDefault="00514BCE" w:rsidP="00514BCE">
      <w:pPr>
        <w:adjustRightInd w:val="0"/>
        <w:jc w:val="both"/>
      </w:pPr>
      <w:r>
        <w:t xml:space="preserve"> </w:t>
      </w:r>
    </w:p>
    <w:p w14:paraId="638B200C" w14:textId="77777777" w:rsidR="00514BCE" w:rsidRPr="0084052B" w:rsidRDefault="00514BCE" w:rsidP="00514BCE">
      <w:pPr>
        <w:adjustRightInd w:val="0"/>
        <w:jc w:val="both"/>
        <w:rPr>
          <w:b/>
        </w:rPr>
      </w:pPr>
      <w:r w:rsidRPr="0084052B">
        <w:rPr>
          <w:b/>
        </w:rPr>
        <w:t xml:space="preserve">Nota 2 </w:t>
      </w:r>
    </w:p>
    <w:p w14:paraId="6B596272" w14:textId="7049A6C1" w:rsidR="00514BCE" w:rsidRDefault="00514BCE" w:rsidP="00514BCE">
      <w:pPr>
        <w:adjustRightInd w:val="0"/>
        <w:jc w:val="both"/>
      </w:pPr>
      <w:r>
        <w:t>Se constató la conciliación bancaria al 0</w:t>
      </w:r>
      <w:r w:rsidR="00C80463">
        <w:t>3</w:t>
      </w:r>
      <w:r>
        <w:t>/</w:t>
      </w:r>
      <w:r w:rsidR="00C80463">
        <w:t>11</w:t>
      </w:r>
      <w:r>
        <w:t xml:space="preserve">/2022 entre la </w:t>
      </w:r>
      <w:r w:rsidR="00F675D2">
        <w:t>c</w:t>
      </w:r>
      <w:r w:rsidR="003726D3">
        <w:t xml:space="preserve">uenta No. </w:t>
      </w:r>
      <w:r w:rsidR="00C80463">
        <w:t>3033375863</w:t>
      </w:r>
      <w:r>
        <w:t xml:space="preserve">, denominada FONDO ROTATIVO </w:t>
      </w:r>
      <w:r w:rsidR="00C80463">
        <w:t>INTERNO DIGEPSA MINEDUC</w:t>
      </w:r>
      <w:r w:rsidR="00D15F44">
        <w:t xml:space="preserve">, </w:t>
      </w:r>
      <w:r>
        <w:t xml:space="preserve">constituida en el Banco de Desarrollo Rural </w:t>
      </w:r>
      <w:r w:rsidR="00BB15C8">
        <w:t>-</w:t>
      </w:r>
      <w:r>
        <w:t xml:space="preserve">BANRURAL- y libro de bancos, la cual refleja un saldo conciliado de </w:t>
      </w:r>
      <w:r w:rsidR="00C80463">
        <w:t xml:space="preserve">  </w:t>
      </w:r>
      <w:r>
        <w:t xml:space="preserve">Q. </w:t>
      </w:r>
      <w:r w:rsidR="00C80463">
        <w:t>71</w:t>
      </w:r>
      <w:r>
        <w:t>,</w:t>
      </w:r>
      <w:r w:rsidR="00C80463">
        <w:t>650</w:t>
      </w:r>
      <w:r>
        <w:t>.</w:t>
      </w:r>
      <w:r w:rsidR="00C80463">
        <w:t>47</w:t>
      </w:r>
      <w:r>
        <w:t>.</w:t>
      </w:r>
    </w:p>
    <w:p w14:paraId="5F229371" w14:textId="77777777" w:rsidR="00514BCE" w:rsidRPr="00EE7C6B" w:rsidRDefault="00514BCE" w:rsidP="00514BCE">
      <w:pPr>
        <w:adjustRightInd w:val="0"/>
        <w:jc w:val="both"/>
      </w:pPr>
    </w:p>
    <w:p w14:paraId="4C7F42C5" w14:textId="77777777" w:rsidR="00514BCE" w:rsidRDefault="00514BCE" w:rsidP="00514BCE">
      <w:pPr>
        <w:adjustRightInd w:val="0"/>
        <w:jc w:val="both"/>
        <w:rPr>
          <w:b/>
        </w:rPr>
      </w:pPr>
      <w:r w:rsidRPr="00EE7C6B">
        <w:rPr>
          <w:b/>
        </w:rPr>
        <w:t>Nota 3</w:t>
      </w:r>
    </w:p>
    <w:p w14:paraId="49316EE9" w14:textId="57F6F405" w:rsidR="00514BCE" w:rsidRPr="00AB3FCB" w:rsidRDefault="00514BCE" w:rsidP="00514BCE">
      <w:pPr>
        <w:adjustRightInd w:val="0"/>
        <w:jc w:val="both"/>
      </w:pPr>
      <w:r w:rsidRPr="00AB3FCB">
        <w:t>Al efectuar el arqueo de fondo rotativo interno present</w:t>
      </w:r>
      <w:r w:rsidR="00C76794">
        <w:t>ó</w:t>
      </w:r>
      <w:r w:rsidRPr="00AB3FCB">
        <w:t xml:space="preserve"> documentos de </w:t>
      </w:r>
      <w:r w:rsidR="003726D3" w:rsidRPr="00AB3FCB">
        <w:t>legítimo</w:t>
      </w:r>
      <w:r w:rsidRPr="00AB3FCB">
        <w:t xml:space="preserve"> abono por la cantidad de Q. </w:t>
      </w:r>
      <w:r w:rsidR="006B3F44">
        <w:t>2</w:t>
      </w:r>
      <w:r w:rsidRPr="00AB3FCB">
        <w:t>6,</w:t>
      </w:r>
      <w:r w:rsidR="006B3F44">
        <w:t>349.53</w:t>
      </w:r>
      <w:r w:rsidRPr="00AB3FCB">
        <w:t>.</w:t>
      </w:r>
    </w:p>
    <w:p w14:paraId="0878B757" w14:textId="77777777" w:rsidR="00514BCE" w:rsidRDefault="00514BCE" w:rsidP="00514BCE">
      <w:pPr>
        <w:adjustRightInd w:val="0"/>
        <w:jc w:val="both"/>
        <w:rPr>
          <w:b/>
        </w:rPr>
      </w:pPr>
    </w:p>
    <w:p w14:paraId="1A1E3E27" w14:textId="77777777" w:rsidR="00514BCE" w:rsidRDefault="00514BCE" w:rsidP="00514BCE">
      <w:pPr>
        <w:adjustRightInd w:val="0"/>
        <w:jc w:val="both"/>
        <w:rPr>
          <w:b/>
        </w:rPr>
      </w:pPr>
      <w:r>
        <w:rPr>
          <w:b/>
        </w:rPr>
        <w:t>Nota 4</w:t>
      </w:r>
    </w:p>
    <w:p w14:paraId="154324D4" w14:textId="6753F3F8" w:rsidR="00514BCE" w:rsidRDefault="00514BCE" w:rsidP="00514BCE">
      <w:pPr>
        <w:adjustRightInd w:val="0"/>
        <w:jc w:val="both"/>
        <w:rPr>
          <w:bCs/>
        </w:rPr>
      </w:pPr>
      <w:r>
        <w:rPr>
          <w:bCs/>
        </w:rPr>
        <w:t xml:space="preserve">El fondo de caja chica de Q. </w:t>
      </w:r>
      <w:r w:rsidR="006B3F44">
        <w:rPr>
          <w:bCs/>
        </w:rPr>
        <w:t>2</w:t>
      </w:r>
      <w:r>
        <w:rPr>
          <w:bCs/>
        </w:rPr>
        <w:t xml:space="preserve">,000.00 es administrado por </w:t>
      </w:r>
      <w:r w:rsidR="00166D7A">
        <w:rPr>
          <w:bCs/>
        </w:rPr>
        <w:t xml:space="preserve">el Perito Contador </w:t>
      </w:r>
      <w:r w:rsidR="00C80463">
        <w:rPr>
          <w:bCs/>
        </w:rPr>
        <w:t xml:space="preserve">Edvin Geovanny Ortiz </w:t>
      </w:r>
      <w:r w:rsidR="00166D7A">
        <w:rPr>
          <w:bCs/>
        </w:rPr>
        <w:t>Hernández, Analista</w:t>
      </w:r>
      <w:r w:rsidR="00C80463">
        <w:rPr>
          <w:bCs/>
        </w:rPr>
        <w:t xml:space="preserve"> </w:t>
      </w:r>
      <w:r w:rsidR="00166D7A">
        <w:rPr>
          <w:bCs/>
        </w:rPr>
        <w:t>F</w:t>
      </w:r>
      <w:r w:rsidR="00C80463">
        <w:rPr>
          <w:bCs/>
        </w:rPr>
        <w:t>inanciero quien</w:t>
      </w:r>
      <w:r w:rsidR="00166D7A">
        <w:rPr>
          <w:bCs/>
        </w:rPr>
        <w:t xml:space="preserve"> </w:t>
      </w:r>
      <w:r>
        <w:rPr>
          <w:bCs/>
        </w:rPr>
        <w:t>cauciona su responsabilidad mediante pago de fianza. Se encuentra nombrad</w:t>
      </w:r>
      <w:r w:rsidR="00166D7A">
        <w:rPr>
          <w:bCs/>
        </w:rPr>
        <w:t>o por la d</w:t>
      </w:r>
      <w:r>
        <w:rPr>
          <w:bCs/>
        </w:rPr>
        <w:t>irector</w:t>
      </w:r>
      <w:r w:rsidR="00166D7A">
        <w:rPr>
          <w:bCs/>
        </w:rPr>
        <w:t>a</w:t>
      </w:r>
      <w:r>
        <w:rPr>
          <w:bCs/>
        </w:rPr>
        <w:t xml:space="preserve"> de</w:t>
      </w:r>
      <w:r w:rsidR="00166D7A">
        <w:rPr>
          <w:bCs/>
        </w:rPr>
        <w:t xml:space="preserve"> </w:t>
      </w:r>
      <w:r>
        <w:rPr>
          <w:bCs/>
        </w:rPr>
        <w:t>l</w:t>
      </w:r>
      <w:r w:rsidR="00166D7A">
        <w:rPr>
          <w:bCs/>
        </w:rPr>
        <w:t>a</w:t>
      </w:r>
      <w:r>
        <w:rPr>
          <w:bCs/>
        </w:rPr>
        <w:t xml:space="preserve"> </w:t>
      </w:r>
      <w:r w:rsidR="00166D7A">
        <w:rPr>
          <w:bCs/>
        </w:rPr>
        <w:t xml:space="preserve">Dirección </w:t>
      </w:r>
      <w:r w:rsidR="00166D7A">
        <w:t>General de Participación Comunitaria y Servicios de Apoyo -DIGEPSA-</w:t>
      </w:r>
      <w:r>
        <w:rPr>
          <w:bCs/>
        </w:rPr>
        <w:t xml:space="preserve">, mediante </w:t>
      </w:r>
      <w:r w:rsidR="00F42261">
        <w:rPr>
          <w:bCs/>
        </w:rPr>
        <w:t>Resolución Numero 002-2022</w:t>
      </w:r>
      <w:r>
        <w:rPr>
          <w:bCs/>
        </w:rPr>
        <w:t xml:space="preserve"> de fecha </w:t>
      </w:r>
      <w:r w:rsidR="00F42261">
        <w:rPr>
          <w:bCs/>
        </w:rPr>
        <w:t xml:space="preserve">02 </w:t>
      </w:r>
      <w:r>
        <w:rPr>
          <w:bCs/>
        </w:rPr>
        <w:t xml:space="preserve">de </w:t>
      </w:r>
      <w:r w:rsidR="00F42261">
        <w:rPr>
          <w:bCs/>
        </w:rPr>
        <w:t xml:space="preserve">febrero </w:t>
      </w:r>
      <w:r>
        <w:rPr>
          <w:bCs/>
        </w:rPr>
        <w:t xml:space="preserve">de 2022. Al efectuar el arqueo el </w:t>
      </w:r>
      <w:r w:rsidR="00F42261">
        <w:rPr>
          <w:bCs/>
        </w:rPr>
        <w:t xml:space="preserve">03 </w:t>
      </w:r>
      <w:r>
        <w:rPr>
          <w:bCs/>
        </w:rPr>
        <w:t xml:space="preserve">de </w:t>
      </w:r>
      <w:r w:rsidR="00F42261">
        <w:rPr>
          <w:bCs/>
        </w:rPr>
        <w:t>noviembre</w:t>
      </w:r>
      <w:r>
        <w:rPr>
          <w:bCs/>
        </w:rPr>
        <w:t xml:space="preserve"> de 2022, present</w:t>
      </w:r>
      <w:r w:rsidR="00C76794">
        <w:rPr>
          <w:bCs/>
        </w:rPr>
        <w:t>ó</w:t>
      </w:r>
      <w:r>
        <w:rPr>
          <w:bCs/>
        </w:rPr>
        <w:t xml:space="preserve"> efectivo de Q.</w:t>
      </w:r>
      <w:r w:rsidR="006B3F44">
        <w:rPr>
          <w:bCs/>
        </w:rPr>
        <w:t>1</w:t>
      </w:r>
      <w:r>
        <w:rPr>
          <w:bCs/>
        </w:rPr>
        <w:t>,</w:t>
      </w:r>
      <w:r w:rsidR="006B3F44">
        <w:rPr>
          <w:bCs/>
        </w:rPr>
        <w:t>758</w:t>
      </w:r>
      <w:r>
        <w:rPr>
          <w:bCs/>
        </w:rPr>
        <w:t>.</w:t>
      </w:r>
      <w:r w:rsidR="006B3F44">
        <w:rPr>
          <w:bCs/>
        </w:rPr>
        <w:t>5</w:t>
      </w:r>
      <w:r>
        <w:rPr>
          <w:bCs/>
        </w:rPr>
        <w:t>0.</w:t>
      </w:r>
    </w:p>
    <w:p w14:paraId="4BE89781" w14:textId="77777777" w:rsidR="00514BCE" w:rsidRDefault="00514BCE" w:rsidP="00514BCE">
      <w:pPr>
        <w:adjustRightInd w:val="0"/>
        <w:jc w:val="both"/>
        <w:rPr>
          <w:bCs/>
        </w:rPr>
      </w:pPr>
    </w:p>
    <w:p w14:paraId="35091C6F" w14:textId="77777777" w:rsidR="00514BCE" w:rsidRPr="00E973E0" w:rsidRDefault="00514BCE" w:rsidP="00514BCE">
      <w:pPr>
        <w:adjustRightInd w:val="0"/>
        <w:jc w:val="both"/>
        <w:rPr>
          <w:b/>
          <w:bCs/>
        </w:rPr>
      </w:pPr>
      <w:r>
        <w:rPr>
          <w:b/>
          <w:bCs/>
        </w:rPr>
        <w:t>Nota 5</w:t>
      </w:r>
    </w:p>
    <w:p w14:paraId="3994AFBB" w14:textId="56FB00FD" w:rsidR="00514BCE" w:rsidRDefault="00514BCE" w:rsidP="00514BCE">
      <w:pPr>
        <w:adjustRightInd w:val="0"/>
        <w:jc w:val="both"/>
        <w:rPr>
          <w:bCs/>
        </w:rPr>
      </w:pPr>
      <w:r>
        <w:rPr>
          <w:bCs/>
        </w:rPr>
        <w:t>Al efectuar el arqueo de caja chica también present</w:t>
      </w:r>
      <w:r w:rsidR="00C76794">
        <w:rPr>
          <w:bCs/>
        </w:rPr>
        <w:t>ó</w:t>
      </w:r>
      <w:r>
        <w:rPr>
          <w:bCs/>
        </w:rPr>
        <w:t xml:space="preserve"> documentos de legitimo abono por la cantidad de Q. </w:t>
      </w:r>
      <w:r w:rsidR="006B3F44">
        <w:rPr>
          <w:bCs/>
        </w:rPr>
        <w:t>241.50</w:t>
      </w:r>
      <w:r>
        <w:rPr>
          <w:bCs/>
        </w:rPr>
        <w:t>.</w:t>
      </w:r>
    </w:p>
    <w:p w14:paraId="182677DF" w14:textId="77777777" w:rsidR="00514BCE" w:rsidRDefault="00514BCE" w:rsidP="00514BCE">
      <w:pPr>
        <w:adjustRightInd w:val="0"/>
        <w:jc w:val="both"/>
        <w:rPr>
          <w:bCs/>
        </w:rPr>
      </w:pPr>
    </w:p>
    <w:p w14:paraId="16D15ECF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792EF8E6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1A0F7742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5E5EE170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78FB63F2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5F362815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5FDA44AB" w14:textId="77777777" w:rsidR="00514BCE" w:rsidRPr="00660792" w:rsidRDefault="00514BCE" w:rsidP="00514BCE">
      <w:pPr>
        <w:adjustRightInd w:val="0"/>
        <w:jc w:val="both"/>
        <w:rPr>
          <w:b/>
          <w:bCs/>
        </w:rPr>
      </w:pPr>
      <w:r w:rsidRPr="00660792">
        <w:rPr>
          <w:b/>
          <w:bCs/>
        </w:rPr>
        <w:t xml:space="preserve">COMBUSTIBLE  </w:t>
      </w:r>
    </w:p>
    <w:p w14:paraId="53892CE9" w14:textId="443C6715" w:rsidR="00514BCE" w:rsidRDefault="00514BCE" w:rsidP="00514BCE">
      <w:pPr>
        <w:adjustRightInd w:val="0"/>
        <w:jc w:val="both"/>
        <w:rPr>
          <w:bCs/>
        </w:rPr>
      </w:pPr>
      <w:r w:rsidRPr="00B11B9F">
        <w:rPr>
          <w:bCs/>
        </w:rPr>
        <w:t>Al</w:t>
      </w:r>
      <w:r>
        <w:rPr>
          <w:bCs/>
        </w:rPr>
        <w:t xml:space="preserve"> </w:t>
      </w:r>
      <w:r w:rsidR="00EA4028">
        <w:rPr>
          <w:bCs/>
        </w:rPr>
        <w:t xml:space="preserve">07 </w:t>
      </w:r>
      <w:r>
        <w:rPr>
          <w:bCs/>
        </w:rPr>
        <w:t xml:space="preserve">de </w:t>
      </w:r>
      <w:r w:rsidR="00EA4028">
        <w:rPr>
          <w:bCs/>
        </w:rPr>
        <w:t xml:space="preserve">noviembre </w:t>
      </w:r>
      <w:r>
        <w:rPr>
          <w:bCs/>
        </w:rPr>
        <w:t xml:space="preserve">de 2022, se realizó arqueo de cupones de combustibles que estaban integrados de la siguiente forma: </w:t>
      </w:r>
    </w:p>
    <w:p w14:paraId="508CC9D9" w14:textId="77777777" w:rsidR="00D2083D" w:rsidRDefault="00D2083D" w:rsidP="00514BCE">
      <w:pPr>
        <w:adjustRightInd w:val="0"/>
        <w:jc w:val="both"/>
        <w:rPr>
          <w:bCs/>
        </w:rPr>
      </w:pPr>
    </w:p>
    <w:p w14:paraId="71C5075D" w14:textId="17373AF5" w:rsidR="00514BCE" w:rsidRPr="00EA4028" w:rsidRDefault="00EA4028" w:rsidP="00514BCE">
      <w:pPr>
        <w:adjustRightInd w:val="0"/>
        <w:jc w:val="center"/>
        <w:rPr>
          <w:b/>
        </w:rPr>
      </w:pPr>
      <w:r w:rsidRPr="00EA4028">
        <w:rPr>
          <w:b/>
        </w:rPr>
        <w:t>DIRECCIÓN GENERAL DE PARTICIPACIÓN COMUNITARIA Y SERVICIOS DE APOYO -DIGEPSA-</w:t>
      </w:r>
    </w:p>
    <w:p w14:paraId="2EB8810F" w14:textId="77777777" w:rsidR="00514BCE" w:rsidRDefault="00514BCE" w:rsidP="00514BCE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EXISTENCIA DE CUPONES DE COMBUSTIBLE POR UTILIZAR </w:t>
      </w:r>
    </w:p>
    <w:p w14:paraId="773BE31B" w14:textId="095800A7" w:rsidR="00514BCE" w:rsidRDefault="00514BCE" w:rsidP="00514BCE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AL </w:t>
      </w:r>
      <w:r w:rsidR="00EA4028">
        <w:rPr>
          <w:b/>
          <w:bCs/>
        </w:rPr>
        <w:t xml:space="preserve">07 </w:t>
      </w:r>
      <w:r>
        <w:rPr>
          <w:b/>
          <w:bCs/>
        </w:rPr>
        <w:t xml:space="preserve">DE </w:t>
      </w:r>
      <w:r w:rsidR="00EA4028">
        <w:rPr>
          <w:b/>
          <w:bCs/>
        </w:rPr>
        <w:t xml:space="preserve">NOVIEMBRE </w:t>
      </w:r>
      <w:r>
        <w:rPr>
          <w:b/>
          <w:bCs/>
        </w:rPr>
        <w:t>DE 2022</w:t>
      </w:r>
    </w:p>
    <w:p w14:paraId="4F8467A9" w14:textId="77777777" w:rsidR="00514BCE" w:rsidRDefault="00514BCE" w:rsidP="00514BCE">
      <w:pPr>
        <w:adjustRightInd w:val="0"/>
        <w:jc w:val="center"/>
        <w:rPr>
          <w:b/>
          <w:bCs/>
        </w:rPr>
      </w:pPr>
      <w:r>
        <w:rPr>
          <w:b/>
          <w:bCs/>
        </w:rPr>
        <w:t>(Cifras expresadas en quetzales)</w:t>
      </w:r>
    </w:p>
    <w:p w14:paraId="2589AB1E" w14:textId="77777777" w:rsidR="00514BCE" w:rsidRDefault="00514BCE" w:rsidP="00514BCE">
      <w:pPr>
        <w:adjustRightInd w:val="0"/>
        <w:jc w:val="center"/>
        <w:rPr>
          <w:b/>
          <w:bCs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7"/>
        <w:gridCol w:w="1017"/>
        <w:gridCol w:w="1267"/>
        <w:gridCol w:w="987"/>
        <w:gridCol w:w="1519"/>
        <w:gridCol w:w="1559"/>
        <w:gridCol w:w="1563"/>
      </w:tblGrid>
      <w:tr w:rsidR="005F4DAA" w14:paraId="01A826B2" w14:textId="77777777" w:rsidTr="00B26867">
        <w:tc>
          <w:tcPr>
            <w:tcW w:w="1139" w:type="pct"/>
            <w:gridSpan w:val="2"/>
            <w:shd w:val="clear" w:color="auto" w:fill="D9D9D9" w:themeFill="background1" w:themeFillShade="D9"/>
            <w:vAlign w:val="center"/>
          </w:tcPr>
          <w:p w14:paraId="2D7666E1" w14:textId="77777777" w:rsidR="005F4DAA" w:rsidRPr="000F1116" w:rsidRDefault="005F4DAA" w:rsidP="00B2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F1116">
              <w:rPr>
                <w:b/>
                <w:bCs/>
                <w:sz w:val="18"/>
                <w:szCs w:val="18"/>
              </w:rPr>
              <w:t>Correlativo</w:t>
            </w:r>
          </w:p>
        </w:tc>
        <w:tc>
          <w:tcPr>
            <w:tcW w:w="709" w:type="pct"/>
            <w:vMerge w:val="restart"/>
            <w:shd w:val="clear" w:color="auto" w:fill="D9D9D9" w:themeFill="background1" w:themeFillShade="D9"/>
            <w:vAlign w:val="center"/>
          </w:tcPr>
          <w:p w14:paraId="32559C6E" w14:textId="77777777" w:rsidR="005F4DAA" w:rsidRPr="000F1116" w:rsidRDefault="005F4DAA" w:rsidP="00B26867">
            <w:pPr>
              <w:jc w:val="center"/>
              <w:rPr>
                <w:b/>
                <w:sz w:val="18"/>
                <w:szCs w:val="18"/>
              </w:rPr>
            </w:pPr>
            <w:r w:rsidRPr="000F1116">
              <w:rPr>
                <w:b/>
                <w:sz w:val="18"/>
                <w:szCs w:val="18"/>
              </w:rPr>
              <w:t>Fecha de vencimiento</w:t>
            </w:r>
          </w:p>
        </w:tc>
        <w:tc>
          <w:tcPr>
            <w:tcW w:w="553" w:type="pct"/>
            <w:vMerge w:val="restart"/>
            <w:shd w:val="clear" w:color="auto" w:fill="D9D9D9" w:themeFill="background1" w:themeFillShade="D9"/>
            <w:vAlign w:val="center"/>
          </w:tcPr>
          <w:p w14:paraId="195F07DF" w14:textId="77777777" w:rsidR="005F4DAA" w:rsidRPr="000F1116" w:rsidRDefault="005F4DAA" w:rsidP="00B26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Unitario</w:t>
            </w:r>
          </w:p>
        </w:tc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6DBDBCAB" w14:textId="57D54B30" w:rsidR="005F4DAA" w:rsidRPr="000F1116" w:rsidRDefault="00EA4028" w:rsidP="00B2686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Total</w:t>
            </w:r>
            <w:proofErr w:type="gramEnd"/>
            <w:r w:rsidR="005F4DAA">
              <w:rPr>
                <w:b/>
                <w:sz w:val="18"/>
                <w:szCs w:val="18"/>
              </w:rPr>
              <w:t xml:space="preserve"> cupones físicos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</w:tcPr>
          <w:p w14:paraId="22FBD0FA" w14:textId="77777777" w:rsidR="005F4DAA" w:rsidRDefault="00B26867" w:rsidP="00B2686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Total</w:t>
            </w:r>
            <w:proofErr w:type="gramEnd"/>
            <w:r>
              <w:rPr>
                <w:b/>
                <w:sz w:val="18"/>
                <w:szCs w:val="18"/>
              </w:rPr>
              <w:t xml:space="preserve"> cupones</w:t>
            </w:r>
            <w:r w:rsidR="005F4DAA">
              <w:rPr>
                <w:b/>
                <w:sz w:val="18"/>
                <w:szCs w:val="18"/>
              </w:rPr>
              <w:t xml:space="preserve"> según libro</w:t>
            </w:r>
          </w:p>
        </w:tc>
        <w:tc>
          <w:tcPr>
            <w:tcW w:w="875" w:type="pct"/>
            <w:vMerge w:val="restart"/>
            <w:shd w:val="clear" w:color="auto" w:fill="D9D9D9" w:themeFill="background1" w:themeFillShade="D9"/>
            <w:vAlign w:val="center"/>
          </w:tcPr>
          <w:p w14:paraId="318CCD2E" w14:textId="77777777" w:rsidR="005F4DAA" w:rsidRPr="000F1116" w:rsidRDefault="005F4DAA" w:rsidP="00B2686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Total</w:t>
            </w:r>
            <w:proofErr w:type="gramEnd"/>
            <w:r w:rsidR="00B26867">
              <w:rPr>
                <w:b/>
                <w:sz w:val="18"/>
                <w:szCs w:val="18"/>
              </w:rPr>
              <w:t xml:space="preserve"> conciliado</w:t>
            </w:r>
          </w:p>
        </w:tc>
      </w:tr>
      <w:tr w:rsidR="005F4DAA" w14:paraId="08C18980" w14:textId="77777777" w:rsidTr="00B26867"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2AE12AFF" w14:textId="77777777" w:rsidR="005F4DAA" w:rsidRPr="000F1116" w:rsidRDefault="005F4DAA" w:rsidP="00B2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F1116">
              <w:rPr>
                <w:b/>
                <w:bCs/>
                <w:sz w:val="18"/>
                <w:szCs w:val="18"/>
              </w:rPr>
              <w:t>Del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1B3B322F" w14:textId="77777777" w:rsidR="005F4DAA" w:rsidRPr="000F1116" w:rsidRDefault="005F4DAA" w:rsidP="00B26867">
            <w:pPr>
              <w:jc w:val="center"/>
              <w:rPr>
                <w:b/>
                <w:sz w:val="18"/>
                <w:szCs w:val="18"/>
              </w:rPr>
            </w:pPr>
            <w:r w:rsidRPr="000F1116"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709" w:type="pct"/>
            <w:vMerge/>
            <w:shd w:val="clear" w:color="auto" w:fill="D9D9D9" w:themeFill="background1" w:themeFillShade="D9"/>
          </w:tcPr>
          <w:p w14:paraId="4901073C" w14:textId="77777777" w:rsidR="005F4DAA" w:rsidRPr="000F1116" w:rsidRDefault="005F4DAA" w:rsidP="00B26867">
            <w:pPr>
              <w:jc w:val="center"/>
              <w:rPr>
                <w:b/>
              </w:rPr>
            </w:pPr>
          </w:p>
        </w:tc>
        <w:tc>
          <w:tcPr>
            <w:tcW w:w="553" w:type="pct"/>
            <w:vMerge/>
            <w:shd w:val="clear" w:color="auto" w:fill="D9D9D9" w:themeFill="background1" w:themeFillShade="D9"/>
          </w:tcPr>
          <w:p w14:paraId="477F55EF" w14:textId="77777777" w:rsidR="005F4DAA" w:rsidRPr="000F1116" w:rsidRDefault="005F4DAA" w:rsidP="00B26867">
            <w:pPr>
              <w:jc w:val="center"/>
              <w:rPr>
                <w:b/>
              </w:rPr>
            </w:pPr>
          </w:p>
        </w:tc>
        <w:tc>
          <w:tcPr>
            <w:tcW w:w="851" w:type="pct"/>
            <w:vMerge/>
            <w:shd w:val="clear" w:color="auto" w:fill="D9D9D9" w:themeFill="background1" w:themeFillShade="D9"/>
          </w:tcPr>
          <w:p w14:paraId="7B109EC4" w14:textId="77777777" w:rsidR="005F4DAA" w:rsidRPr="000F1116" w:rsidRDefault="005F4DAA" w:rsidP="00B26867">
            <w:pPr>
              <w:jc w:val="center"/>
              <w:rPr>
                <w:b/>
              </w:rPr>
            </w:pPr>
          </w:p>
        </w:tc>
        <w:tc>
          <w:tcPr>
            <w:tcW w:w="873" w:type="pct"/>
            <w:vMerge/>
            <w:shd w:val="clear" w:color="auto" w:fill="D9D9D9" w:themeFill="background1" w:themeFillShade="D9"/>
          </w:tcPr>
          <w:p w14:paraId="47A7C974" w14:textId="77777777" w:rsidR="005F4DAA" w:rsidRPr="000F1116" w:rsidRDefault="005F4DAA" w:rsidP="00B26867">
            <w:pPr>
              <w:jc w:val="center"/>
              <w:rPr>
                <w:b/>
              </w:rPr>
            </w:pPr>
          </w:p>
        </w:tc>
        <w:tc>
          <w:tcPr>
            <w:tcW w:w="875" w:type="pct"/>
            <w:vMerge/>
            <w:shd w:val="clear" w:color="auto" w:fill="D9D9D9" w:themeFill="background1" w:themeFillShade="D9"/>
          </w:tcPr>
          <w:p w14:paraId="0AE8318C" w14:textId="77777777" w:rsidR="005F4DAA" w:rsidRPr="000F1116" w:rsidRDefault="005F4DAA" w:rsidP="00B26867">
            <w:pPr>
              <w:jc w:val="center"/>
              <w:rPr>
                <w:b/>
              </w:rPr>
            </w:pPr>
          </w:p>
        </w:tc>
      </w:tr>
      <w:tr w:rsidR="005F4DAA" w14:paraId="77458D4C" w14:textId="77777777" w:rsidTr="00B26867">
        <w:tc>
          <w:tcPr>
            <w:tcW w:w="569" w:type="pct"/>
            <w:vAlign w:val="center"/>
          </w:tcPr>
          <w:p w14:paraId="03C4AB7A" w14:textId="3BE6ED83" w:rsidR="005F4DAA" w:rsidRPr="0053008B" w:rsidRDefault="00EA4028" w:rsidP="00B268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18796516</w:t>
            </w:r>
          </w:p>
        </w:tc>
        <w:tc>
          <w:tcPr>
            <w:tcW w:w="569" w:type="pct"/>
            <w:vAlign w:val="center"/>
          </w:tcPr>
          <w:p w14:paraId="2AF30EBC" w14:textId="7174798F" w:rsidR="005F4DAA" w:rsidRPr="0053008B" w:rsidRDefault="00EA4028" w:rsidP="00B268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18796952</w:t>
            </w:r>
          </w:p>
        </w:tc>
        <w:tc>
          <w:tcPr>
            <w:tcW w:w="709" w:type="pct"/>
            <w:vAlign w:val="center"/>
          </w:tcPr>
          <w:p w14:paraId="49890A9A" w14:textId="3FB1D5CD" w:rsidR="005F4DAA" w:rsidRPr="0053008B" w:rsidRDefault="00EA4028" w:rsidP="00B268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07/04/2024</w:t>
            </w:r>
          </w:p>
        </w:tc>
        <w:tc>
          <w:tcPr>
            <w:tcW w:w="553" w:type="pct"/>
            <w:vAlign w:val="center"/>
          </w:tcPr>
          <w:p w14:paraId="29689AA7" w14:textId="0CC78AB3" w:rsidR="005F4DAA" w:rsidRPr="0053008B" w:rsidRDefault="00EA4028" w:rsidP="00B268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5F4DAA">
              <w:rPr>
                <w:bCs/>
                <w:sz w:val="18"/>
                <w:szCs w:val="18"/>
              </w:rPr>
              <w:t>50.00</w:t>
            </w:r>
          </w:p>
        </w:tc>
        <w:tc>
          <w:tcPr>
            <w:tcW w:w="851" w:type="pct"/>
            <w:vAlign w:val="center"/>
          </w:tcPr>
          <w:p w14:paraId="2D01B0F1" w14:textId="7065A999" w:rsidR="005F4DAA" w:rsidRPr="0053008B" w:rsidRDefault="00F0585F" w:rsidP="00B268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437</w:t>
            </w:r>
          </w:p>
        </w:tc>
        <w:tc>
          <w:tcPr>
            <w:tcW w:w="873" w:type="pct"/>
          </w:tcPr>
          <w:p w14:paraId="34EDD0D6" w14:textId="3A308B52" w:rsidR="005F4DAA" w:rsidRDefault="00F0585F" w:rsidP="00B2686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437</w:t>
            </w:r>
          </w:p>
        </w:tc>
        <w:tc>
          <w:tcPr>
            <w:tcW w:w="875" w:type="pct"/>
            <w:vAlign w:val="center"/>
          </w:tcPr>
          <w:p w14:paraId="22717FEE" w14:textId="5DBCE096" w:rsidR="005F4DAA" w:rsidRPr="0053008B" w:rsidRDefault="00F0585F" w:rsidP="00B2686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5F4D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8</w:t>
            </w:r>
            <w:r w:rsidR="005F4DAA">
              <w:rPr>
                <w:bCs/>
                <w:sz w:val="18"/>
                <w:szCs w:val="18"/>
              </w:rPr>
              <w:t>50.00</w:t>
            </w:r>
          </w:p>
        </w:tc>
      </w:tr>
      <w:tr w:rsidR="00EA4028" w14:paraId="1F0F9155" w14:textId="77777777" w:rsidTr="00B26867">
        <w:tc>
          <w:tcPr>
            <w:tcW w:w="569" w:type="pct"/>
            <w:vAlign w:val="center"/>
          </w:tcPr>
          <w:p w14:paraId="545BDE99" w14:textId="2D5CC155" w:rsidR="00EA4028" w:rsidRDefault="00EA4028" w:rsidP="00B2686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18797970</w:t>
            </w:r>
          </w:p>
        </w:tc>
        <w:tc>
          <w:tcPr>
            <w:tcW w:w="569" w:type="pct"/>
            <w:vAlign w:val="center"/>
          </w:tcPr>
          <w:p w14:paraId="637779EF" w14:textId="1507637E" w:rsidR="00EA4028" w:rsidRDefault="00EA4028" w:rsidP="00B2686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18798202</w:t>
            </w:r>
          </w:p>
        </w:tc>
        <w:tc>
          <w:tcPr>
            <w:tcW w:w="709" w:type="pct"/>
            <w:vAlign w:val="center"/>
          </w:tcPr>
          <w:p w14:paraId="798DA44E" w14:textId="7CBC2AA7" w:rsidR="00EA4028" w:rsidRDefault="00EA4028" w:rsidP="00B2686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07/04/2024</w:t>
            </w:r>
          </w:p>
        </w:tc>
        <w:tc>
          <w:tcPr>
            <w:tcW w:w="553" w:type="pct"/>
            <w:vAlign w:val="center"/>
          </w:tcPr>
          <w:p w14:paraId="49E54669" w14:textId="7D494F7B" w:rsidR="00EA4028" w:rsidRDefault="00EA4028" w:rsidP="00B2686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100.00</w:t>
            </w:r>
          </w:p>
        </w:tc>
        <w:tc>
          <w:tcPr>
            <w:tcW w:w="851" w:type="pct"/>
            <w:vAlign w:val="center"/>
          </w:tcPr>
          <w:p w14:paraId="7BCB1091" w14:textId="10CC8D77" w:rsidR="00EA4028" w:rsidRDefault="00F0585F" w:rsidP="00B2686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233</w:t>
            </w:r>
          </w:p>
        </w:tc>
        <w:tc>
          <w:tcPr>
            <w:tcW w:w="873" w:type="pct"/>
          </w:tcPr>
          <w:p w14:paraId="3847967E" w14:textId="161D9232" w:rsidR="00EA4028" w:rsidRDefault="00F0585F" w:rsidP="00B2686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233</w:t>
            </w:r>
          </w:p>
        </w:tc>
        <w:tc>
          <w:tcPr>
            <w:tcW w:w="875" w:type="pct"/>
            <w:vAlign w:val="center"/>
          </w:tcPr>
          <w:p w14:paraId="2D653784" w14:textId="1947A44B" w:rsidR="00EA4028" w:rsidRDefault="00F0585F" w:rsidP="00B26867">
            <w:pPr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23,300.00</w:t>
            </w:r>
          </w:p>
        </w:tc>
      </w:tr>
      <w:tr w:rsidR="005F4DAA" w14:paraId="13BA02F6" w14:textId="77777777" w:rsidTr="00B26867">
        <w:tc>
          <w:tcPr>
            <w:tcW w:w="2401" w:type="pct"/>
            <w:gridSpan w:val="4"/>
            <w:vAlign w:val="center"/>
          </w:tcPr>
          <w:p w14:paraId="424A9385" w14:textId="77777777" w:rsidR="005F4DAA" w:rsidRPr="0053008B" w:rsidRDefault="005F4DAA" w:rsidP="00B2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3008B">
              <w:rPr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851" w:type="pct"/>
            <w:vAlign w:val="center"/>
          </w:tcPr>
          <w:p w14:paraId="420A3959" w14:textId="187ADDDF" w:rsidR="005F4DAA" w:rsidRPr="0053008B" w:rsidRDefault="00F0585F" w:rsidP="00B2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873" w:type="pct"/>
          </w:tcPr>
          <w:p w14:paraId="1D46D19E" w14:textId="17A0C873" w:rsidR="005F4DAA" w:rsidRDefault="00F0585F" w:rsidP="00B26867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875" w:type="pct"/>
            <w:vAlign w:val="center"/>
          </w:tcPr>
          <w:p w14:paraId="40E45C69" w14:textId="5D418E5E" w:rsidR="005F4DAA" w:rsidRPr="0053008B" w:rsidRDefault="00F0585F" w:rsidP="00B2686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 w:rsidR="005F4DAA" w:rsidRPr="0053008B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5F4DAA">
              <w:rPr>
                <w:b/>
                <w:bCs/>
                <w:sz w:val="18"/>
                <w:szCs w:val="18"/>
              </w:rPr>
              <w:t>50</w:t>
            </w:r>
            <w:r w:rsidR="005F4DAA" w:rsidRPr="0053008B">
              <w:rPr>
                <w:b/>
                <w:bCs/>
                <w:sz w:val="18"/>
                <w:szCs w:val="18"/>
              </w:rPr>
              <w:t>.00</w:t>
            </w:r>
          </w:p>
        </w:tc>
      </w:tr>
    </w:tbl>
    <w:p w14:paraId="62105089" w14:textId="2CB25AC3" w:rsidR="00514BCE" w:rsidRPr="0053008B" w:rsidRDefault="00514BCE" w:rsidP="00514BCE">
      <w:pPr>
        <w:adjustRightInd w:val="0"/>
        <w:rPr>
          <w:bCs/>
          <w:sz w:val="18"/>
          <w:szCs w:val="18"/>
        </w:rPr>
      </w:pPr>
      <w:r w:rsidRPr="0053008B">
        <w:rPr>
          <w:bCs/>
          <w:sz w:val="18"/>
          <w:szCs w:val="18"/>
        </w:rPr>
        <w:t>F</w:t>
      </w:r>
      <w:r>
        <w:rPr>
          <w:bCs/>
          <w:sz w:val="18"/>
          <w:szCs w:val="18"/>
        </w:rPr>
        <w:t>uente</w:t>
      </w:r>
      <w:r w:rsidRPr="0053008B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Conteo físico verificado con el libro de control y entrega de cupones de combustible.</w:t>
      </w:r>
      <w:r w:rsidRPr="0053008B">
        <w:rPr>
          <w:bCs/>
          <w:sz w:val="18"/>
          <w:szCs w:val="18"/>
        </w:rPr>
        <w:t xml:space="preserve"> </w:t>
      </w:r>
    </w:p>
    <w:p w14:paraId="26EE8850" w14:textId="77777777" w:rsidR="00514BCE" w:rsidRPr="00D42BA3" w:rsidRDefault="00514BCE" w:rsidP="00514BCE">
      <w:pPr>
        <w:adjustRightInd w:val="0"/>
        <w:rPr>
          <w:bCs/>
        </w:rPr>
      </w:pPr>
    </w:p>
    <w:p w14:paraId="27F03829" w14:textId="0EE86AA4" w:rsidR="00514BCE" w:rsidRDefault="00514BCE" w:rsidP="00514BCE">
      <w:pPr>
        <w:adjustRightInd w:val="0"/>
        <w:jc w:val="both"/>
        <w:rPr>
          <w:bCs/>
        </w:rPr>
      </w:pPr>
      <w:r>
        <w:rPr>
          <w:bCs/>
        </w:rPr>
        <w:t>La guarda y custodia de l</w:t>
      </w:r>
      <w:r w:rsidRPr="00D42BA3">
        <w:rPr>
          <w:bCs/>
        </w:rPr>
        <w:t>os cupones de</w:t>
      </w:r>
      <w:r>
        <w:rPr>
          <w:bCs/>
        </w:rPr>
        <w:t xml:space="preserve"> combustible, a la fecha del arqueo se encontraba a cargo del</w:t>
      </w:r>
      <w:r w:rsidR="00F0585F">
        <w:rPr>
          <w:bCs/>
        </w:rPr>
        <w:t xml:space="preserve"> </w:t>
      </w:r>
      <w:r w:rsidR="00114A31">
        <w:rPr>
          <w:bCs/>
        </w:rPr>
        <w:t>l</w:t>
      </w:r>
      <w:r>
        <w:rPr>
          <w:bCs/>
        </w:rPr>
        <w:t>icenciad</w:t>
      </w:r>
      <w:r w:rsidR="00F0585F">
        <w:rPr>
          <w:bCs/>
        </w:rPr>
        <w:t>o Otto Rene Stephenson Ojea</w:t>
      </w:r>
      <w:r>
        <w:rPr>
          <w:bCs/>
        </w:rPr>
        <w:t>, quien cauciona su responsabilidad mediante el pago de fianza.</w:t>
      </w:r>
    </w:p>
    <w:p w14:paraId="70D63AFB" w14:textId="2E09FD2B" w:rsidR="00514BCE" w:rsidRDefault="00514BCE" w:rsidP="00514BCE">
      <w:pPr>
        <w:jc w:val="both"/>
      </w:pPr>
    </w:p>
    <w:p w14:paraId="65A1A38C" w14:textId="01B8F631" w:rsidR="00514BCE" w:rsidRDefault="00C76794" w:rsidP="00514BCE">
      <w:pPr>
        <w:jc w:val="both"/>
      </w:pPr>
      <w:r>
        <w:t xml:space="preserve">En conclusión, como resultado de los arqueos realizados se determinó que los saldos se encuentran razonablemente en la </w:t>
      </w:r>
      <w:r w:rsidR="003E62D8">
        <w:t>información contenida en el fondo rotativo interno para gastos de funcionamiento, fondo de caja chica y cupones de combustible.</w:t>
      </w:r>
    </w:p>
    <w:p w14:paraId="050C0F26" w14:textId="77777777" w:rsidR="00514BCE" w:rsidRDefault="00514BCE" w:rsidP="00514BCE">
      <w:pPr>
        <w:jc w:val="both"/>
      </w:pPr>
    </w:p>
    <w:p w14:paraId="3AADDDC0" w14:textId="77777777" w:rsidR="00514BCE" w:rsidRDefault="00514BCE" w:rsidP="00514BCE">
      <w:pPr>
        <w:jc w:val="both"/>
      </w:pPr>
    </w:p>
    <w:p w14:paraId="3B20EA63" w14:textId="77777777" w:rsidR="00514BCE" w:rsidRDefault="00514BCE" w:rsidP="00514BCE">
      <w:pPr>
        <w:jc w:val="both"/>
      </w:pPr>
    </w:p>
    <w:p w14:paraId="78CCB76C" w14:textId="77777777" w:rsidR="00514BCE" w:rsidRDefault="00514BCE" w:rsidP="00514BCE">
      <w:pPr>
        <w:jc w:val="both"/>
      </w:pPr>
    </w:p>
    <w:p w14:paraId="60A593CF" w14:textId="77777777" w:rsidR="00514BCE" w:rsidRDefault="00514BCE" w:rsidP="00514BCE">
      <w:pPr>
        <w:jc w:val="both"/>
      </w:pPr>
    </w:p>
    <w:p w14:paraId="4B24437E" w14:textId="77777777" w:rsidR="00514BCE" w:rsidRDefault="00514BCE" w:rsidP="00514BCE">
      <w:pPr>
        <w:jc w:val="both"/>
      </w:pPr>
    </w:p>
    <w:p w14:paraId="493E03B4" w14:textId="77777777" w:rsidR="00514BCE" w:rsidRDefault="00514BCE" w:rsidP="00514BCE">
      <w:pPr>
        <w:jc w:val="both"/>
      </w:pPr>
    </w:p>
    <w:p w14:paraId="6B20DC71" w14:textId="77777777" w:rsidR="00514BCE" w:rsidRDefault="00514BCE" w:rsidP="00514BCE">
      <w:pPr>
        <w:jc w:val="both"/>
      </w:pPr>
    </w:p>
    <w:p w14:paraId="66B5C2E6" w14:textId="77777777" w:rsidR="00514BCE" w:rsidRDefault="00514BCE" w:rsidP="00514BCE">
      <w:pPr>
        <w:jc w:val="both"/>
      </w:pPr>
    </w:p>
    <w:p w14:paraId="6602E877" w14:textId="77777777" w:rsidR="00514BCE" w:rsidRDefault="00514BCE" w:rsidP="00514BCE">
      <w:pPr>
        <w:jc w:val="both"/>
      </w:pPr>
    </w:p>
    <w:p w14:paraId="189D0130" w14:textId="77777777" w:rsidR="00514BCE" w:rsidRDefault="00514BCE" w:rsidP="00514BCE">
      <w:pPr>
        <w:jc w:val="both"/>
      </w:pPr>
    </w:p>
    <w:p w14:paraId="5A434DC0" w14:textId="77777777" w:rsidR="00514BCE" w:rsidRDefault="00514BCE" w:rsidP="00514BCE">
      <w:pPr>
        <w:jc w:val="both"/>
      </w:pPr>
    </w:p>
    <w:p w14:paraId="630AAB3F" w14:textId="77777777" w:rsidR="00514BCE" w:rsidRDefault="00514BCE" w:rsidP="00514BCE">
      <w:pPr>
        <w:jc w:val="both"/>
      </w:pPr>
    </w:p>
    <w:p w14:paraId="2B586A54" w14:textId="77777777" w:rsidR="00514BCE" w:rsidRDefault="00514BCE" w:rsidP="00514BCE">
      <w:pPr>
        <w:jc w:val="both"/>
      </w:pPr>
    </w:p>
    <w:p w14:paraId="79F3D534" w14:textId="77777777" w:rsidR="00514BCE" w:rsidRDefault="00514BCE" w:rsidP="00514BCE">
      <w:pPr>
        <w:jc w:val="both"/>
      </w:pPr>
    </w:p>
    <w:p w14:paraId="1A47310A" w14:textId="77777777" w:rsidR="00514BCE" w:rsidRDefault="00514BCE" w:rsidP="00514BCE">
      <w:pPr>
        <w:jc w:val="both"/>
      </w:pPr>
    </w:p>
    <w:p w14:paraId="38311DEE" w14:textId="77777777" w:rsidR="00514BCE" w:rsidRDefault="00514BCE" w:rsidP="00514BCE">
      <w:pPr>
        <w:jc w:val="both"/>
      </w:pPr>
    </w:p>
    <w:p w14:paraId="4F56105F" w14:textId="77777777" w:rsidR="00514BCE" w:rsidRDefault="00514BCE" w:rsidP="00514BCE">
      <w:pPr>
        <w:jc w:val="both"/>
      </w:pPr>
    </w:p>
    <w:p w14:paraId="33BEEF58" w14:textId="77777777" w:rsidR="00514BCE" w:rsidRDefault="00514BCE" w:rsidP="00514BCE">
      <w:pPr>
        <w:jc w:val="both"/>
      </w:pPr>
    </w:p>
    <w:p w14:paraId="3EF0CCD9" w14:textId="77777777" w:rsidR="00514BCE" w:rsidRDefault="00514BCE" w:rsidP="00514BCE">
      <w:pPr>
        <w:jc w:val="both"/>
      </w:pPr>
    </w:p>
    <w:p w14:paraId="36EF7E6B" w14:textId="77777777" w:rsidR="00514BCE" w:rsidRDefault="00514BCE" w:rsidP="00514BCE">
      <w:pPr>
        <w:jc w:val="both"/>
      </w:pPr>
    </w:p>
    <w:p w14:paraId="1CD1A3B1" w14:textId="77777777" w:rsidR="00514BCE" w:rsidRDefault="00514BCE" w:rsidP="00514BCE">
      <w:pPr>
        <w:jc w:val="both"/>
      </w:pPr>
    </w:p>
    <w:p w14:paraId="31818874" w14:textId="77777777" w:rsidR="00514BCE" w:rsidRDefault="00514BCE" w:rsidP="00514BCE">
      <w:pPr>
        <w:jc w:val="both"/>
      </w:pPr>
    </w:p>
    <w:p w14:paraId="515CAB19" w14:textId="77777777" w:rsidR="00514BCE" w:rsidRDefault="00514BCE" w:rsidP="00514BCE">
      <w:pPr>
        <w:jc w:val="both"/>
      </w:pPr>
    </w:p>
    <w:p w14:paraId="6B1CB991" w14:textId="77777777" w:rsidR="00514BCE" w:rsidRDefault="00514BCE" w:rsidP="00514BCE">
      <w:pPr>
        <w:jc w:val="both"/>
      </w:pPr>
    </w:p>
    <w:p w14:paraId="4807E790" w14:textId="77777777" w:rsidR="00514BCE" w:rsidRDefault="00514BCE" w:rsidP="00514BCE">
      <w:pPr>
        <w:jc w:val="both"/>
      </w:pPr>
    </w:p>
    <w:p w14:paraId="724B4AC3" w14:textId="77777777" w:rsidR="00514BCE" w:rsidRDefault="00514BCE" w:rsidP="00514BCE">
      <w:pPr>
        <w:jc w:val="both"/>
      </w:pPr>
    </w:p>
    <w:sectPr w:rsidR="00514BCE" w:rsidSect="00514BCE">
      <w:headerReference w:type="default" r:id="rId8"/>
      <w:footerReference w:type="default" r:id="rId9"/>
      <w:pgSz w:w="12240" w:h="15840"/>
      <w:pgMar w:top="1060" w:right="1600" w:bottom="780" w:left="1701" w:header="617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BB9F" w14:textId="77777777" w:rsidR="009637C5" w:rsidRDefault="009637C5">
      <w:r>
        <w:separator/>
      </w:r>
    </w:p>
  </w:endnote>
  <w:endnote w:type="continuationSeparator" w:id="0">
    <w:p w14:paraId="771704AE" w14:textId="77777777" w:rsidR="009637C5" w:rsidRDefault="0096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CA0E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2EDEDBC0" wp14:editId="36A12BBE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40CED0C5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6017ED71" wp14:editId="10FCE497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86257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017ED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4C986257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50DA34D8" wp14:editId="5E2A20F4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CC21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28F">
                            <w:rPr>
                              <w:noProof/>
                              <w:color w:val="666666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DA34D8"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H2QEAAJcDAAAOAAAAZHJzL2Uyb0RvYy54bWysU9uO0zAQfUfiHyy/0zSFoiV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" filled="f" stroked="f">
              <v:textbox inset="0,0,0,0">
                <w:txbxContent>
                  <w:p w14:paraId="0E6CC21F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28F">
                      <w:rPr>
                        <w:noProof/>
                        <w:color w:val="666666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DDDE" w14:textId="77777777" w:rsidR="009637C5" w:rsidRDefault="009637C5">
      <w:r>
        <w:separator/>
      </w:r>
    </w:p>
  </w:footnote>
  <w:footnote w:type="continuationSeparator" w:id="0">
    <w:p w14:paraId="24EB150E" w14:textId="77777777" w:rsidR="009637C5" w:rsidRDefault="0096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FC07" w14:textId="77777777" w:rsidR="00CA6FCF" w:rsidRDefault="00192A05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5558E509" wp14:editId="4E575DBD">
              <wp:simplePos x="0" y="0"/>
              <wp:positionH relativeFrom="page">
                <wp:posOffset>4962525</wp:posOffset>
              </wp:positionH>
              <wp:positionV relativeFrom="page">
                <wp:posOffset>361949</wp:posOffset>
              </wp:positionV>
              <wp:extent cx="1724025" cy="1250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F0C5B" w14:textId="77777777" w:rsidR="00CA6FCF" w:rsidRPr="00192A05" w:rsidRDefault="00192A05" w:rsidP="0058670E">
                          <w:pPr>
                            <w:spacing w:before="15"/>
                            <w:ind w:left="20"/>
                            <w:jc w:val="right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514BCE">
                            <w:rPr>
                              <w:sz w:val="14"/>
                              <w:lang w:val="es-GT"/>
                            </w:rPr>
                            <w:t>122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558E50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0.75pt;margin-top:28.5pt;width:135.75pt;height:9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" filled="f" stroked="f">
              <v:textbox inset="0,0,0,0">
                <w:txbxContent>
                  <w:p w14:paraId="113F0C5B" w14:textId="77777777" w:rsidR="00CA6FCF" w:rsidRPr="00192A05" w:rsidRDefault="00192A05" w:rsidP="0058670E">
                    <w:pPr>
                      <w:spacing w:before="15"/>
                      <w:ind w:left="20"/>
                      <w:jc w:val="right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514BCE">
                      <w:rPr>
                        <w:sz w:val="14"/>
                        <w:lang w:val="es-GT"/>
                      </w:rPr>
                      <w:t>122</w:t>
                    </w:r>
                    <w:r>
                      <w:rPr>
                        <w:sz w:val="14"/>
                        <w:lang w:val="es-GT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B402D7" wp14:editId="7CDDAA26">
              <wp:simplePos x="0" y="0"/>
              <wp:positionH relativeFrom="page">
                <wp:posOffset>1120140</wp:posOffset>
              </wp:positionH>
              <wp:positionV relativeFrom="page">
                <wp:posOffset>357505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5EDB6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8B402D7" id="Text Box 6" o:spid="_x0000_s1027" type="#_x0000_t202" style="position:absolute;margin-left:88.2pt;margin-top:28.15pt;width:98.55pt;height:9.8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" filled="f" stroked="f">
              <v:textbox inset="0,0,0,0">
                <w:txbxContent>
                  <w:p w14:paraId="68B5EDB6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5ED56EE9" wp14:editId="3D0CCB45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2CE5B9A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7768"/>
    <w:multiLevelType w:val="hybridMultilevel"/>
    <w:tmpl w:val="E196F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3BD4"/>
    <w:multiLevelType w:val="hybridMultilevel"/>
    <w:tmpl w:val="3CC2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84C"/>
    <w:multiLevelType w:val="hybridMultilevel"/>
    <w:tmpl w:val="80E42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239B3"/>
    <w:rsid w:val="00045632"/>
    <w:rsid w:val="00055FD0"/>
    <w:rsid w:val="000779CC"/>
    <w:rsid w:val="00097C04"/>
    <w:rsid w:val="000C228F"/>
    <w:rsid w:val="000E4766"/>
    <w:rsid w:val="000F0A67"/>
    <w:rsid w:val="00114A31"/>
    <w:rsid w:val="00117691"/>
    <w:rsid w:val="00132833"/>
    <w:rsid w:val="00135FE5"/>
    <w:rsid w:val="00145F8B"/>
    <w:rsid w:val="00166D7A"/>
    <w:rsid w:val="0017170C"/>
    <w:rsid w:val="00173575"/>
    <w:rsid w:val="00177A94"/>
    <w:rsid w:val="00192A05"/>
    <w:rsid w:val="001A23F1"/>
    <w:rsid w:val="001A7092"/>
    <w:rsid w:val="001B04AF"/>
    <w:rsid w:val="001B6540"/>
    <w:rsid w:val="001C0851"/>
    <w:rsid w:val="001C6A8F"/>
    <w:rsid w:val="00215D65"/>
    <w:rsid w:val="0026156E"/>
    <w:rsid w:val="00266077"/>
    <w:rsid w:val="00272772"/>
    <w:rsid w:val="002E0F12"/>
    <w:rsid w:val="002E6AEF"/>
    <w:rsid w:val="003018C0"/>
    <w:rsid w:val="0030514A"/>
    <w:rsid w:val="00342345"/>
    <w:rsid w:val="00345AA4"/>
    <w:rsid w:val="003726D3"/>
    <w:rsid w:val="003741FD"/>
    <w:rsid w:val="00384256"/>
    <w:rsid w:val="003852B4"/>
    <w:rsid w:val="00393907"/>
    <w:rsid w:val="003C52E8"/>
    <w:rsid w:val="003E62D8"/>
    <w:rsid w:val="003F4635"/>
    <w:rsid w:val="003F6644"/>
    <w:rsid w:val="003F760A"/>
    <w:rsid w:val="004121EB"/>
    <w:rsid w:val="0041760E"/>
    <w:rsid w:val="00432919"/>
    <w:rsid w:val="00442D9A"/>
    <w:rsid w:val="004A7D87"/>
    <w:rsid w:val="004C5EA1"/>
    <w:rsid w:val="004F237A"/>
    <w:rsid w:val="00503D8B"/>
    <w:rsid w:val="00514BCE"/>
    <w:rsid w:val="005417CF"/>
    <w:rsid w:val="005706BA"/>
    <w:rsid w:val="0057102A"/>
    <w:rsid w:val="005714B2"/>
    <w:rsid w:val="005771C3"/>
    <w:rsid w:val="00585544"/>
    <w:rsid w:val="0058670E"/>
    <w:rsid w:val="00596353"/>
    <w:rsid w:val="005B79C6"/>
    <w:rsid w:val="005E1087"/>
    <w:rsid w:val="005E2525"/>
    <w:rsid w:val="005F4DAA"/>
    <w:rsid w:val="006027CF"/>
    <w:rsid w:val="00611262"/>
    <w:rsid w:val="00662FD2"/>
    <w:rsid w:val="006A5010"/>
    <w:rsid w:val="006B3F44"/>
    <w:rsid w:val="006B7513"/>
    <w:rsid w:val="006E021C"/>
    <w:rsid w:val="006F4969"/>
    <w:rsid w:val="006F4EE1"/>
    <w:rsid w:val="006F691A"/>
    <w:rsid w:val="007034A6"/>
    <w:rsid w:val="00703547"/>
    <w:rsid w:val="007472C8"/>
    <w:rsid w:val="00747C8B"/>
    <w:rsid w:val="00757FA2"/>
    <w:rsid w:val="0076305E"/>
    <w:rsid w:val="00791F6A"/>
    <w:rsid w:val="007C4795"/>
    <w:rsid w:val="007D3969"/>
    <w:rsid w:val="007F79D0"/>
    <w:rsid w:val="00830E7A"/>
    <w:rsid w:val="00832077"/>
    <w:rsid w:val="0085090A"/>
    <w:rsid w:val="00861CBD"/>
    <w:rsid w:val="008915C2"/>
    <w:rsid w:val="009637C5"/>
    <w:rsid w:val="009B0531"/>
    <w:rsid w:val="009C0F72"/>
    <w:rsid w:val="009C41E0"/>
    <w:rsid w:val="009D0184"/>
    <w:rsid w:val="009F2C2B"/>
    <w:rsid w:val="00A255F0"/>
    <w:rsid w:val="00A46FF6"/>
    <w:rsid w:val="00A629B1"/>
    <w:rsid w:val="00A9420E"/>
    <w:rsid w:val="00AA176A"/>
    <w:rsid w:val="00AB3CAF"/>
    <w:rsid w:val="00AC1A76"/>
    <w:rsid w:val="00AC3CA7"/>
    <w:rsid w:val="00AD4C16"/>
    <w:rsid w:val="00AE5AF6"/>
    <w:rsid w:val="00B04BBE"/>
    <w:rsid w:val="00B101A8"/>
    <w:rsid w:val="00B2023B"/>
    <w:rsid w:val="00B26867"/>
    <w:rsid w:val="00B301D7"/>
    <w:rsid w:val="00BA1308"/>
    <w:rsid w:val="00BB15C8"/>
    <w:rsid w:val="00BB2013"/>
    <w:rsid w:val="00BD694D"/>
    <w:rsid w:val="00C02E15"/>
    <w:rsid w:val="00C079A0"/>
    <w:rsid w:val="00C23EA5"/>
    <w:rsid w:val="00C242CF"/>
    <w:rsid w:val="00C267A9"/>
    <w:rsid w:val="00C35B0F"/>
    <w:rsid w:val="00C51D23"/>
    <w:rsid w:val="00C76794"/>
    <w:rsid w:val="00C80463"/>
    <w:rsid w:val="00CA05C1"/>
    <w:rsid w:val="00CA6FCF"/>
    <w:rsid w:val="00CC71A5"/>
    <w:rsid w:val="00CD165B"/>
    <w:rsid w:val="00CD557E"/>
    <w:rsid w:val="00CF76CD"/>
    <w:rsid w:val="00D15F44"/>
    <w:rsid w:val="00D17A27"/>
    <w:rsid w:val="00D2083D"/>
    <w:rsid w:val="00D5660D"/>
    <w:rsid w:val="00D93E66"/>
    <w:rsid w:val="00D944D2"/>
    <w:rsid w:val="00D96F58"/>
    <w:rsid w:val="00DA5441"/>
    <w:rsid w:val="00DB0B2C"/>
    <w:rsid w:val="00DB159F"/>
    <w:rsid w:val="00DF391E"/>
    <w:rsid w:val="00E01109"/>
    <w:rsid w:val="00E35922"/>
    <w:rsid w:val="00E4367E"/>
    <w:rsid w:val="00E44686"/>
    <w:rsid w:val="00EA34AF"/>
    <w:rsid w:val="00EA3C2E"/>
    <w:rsid w:val="00EA4028"/>
    <w:rsid w:val="00EB12F7"/>
    <w:rsid w:val="00EC14E8"/>
    <w:rsid w:val="00ED5648"/>
    <w:rsid w:val="00EE14FB"/>
    <w:rsid w:val="00EF7A79"/>
    <w:rsid w:val="00F00211"/>
    <w:rsid w:val="00F0585F"/>
    <w:rsid w:val="00F30D52"/>
    <w:rsid w:val="00F338C5"/>
    <w:rsid w:val="00F36AA3"/>
    <w:rsid w:val="00F42261"/>
    <w:rsid w:val="00F675D2"/>
    <w:rsid w:val="00F86C79"/>
    <w:rsid w:val="00FA2495"/>
    <w:rsid w:val="00FA7366"/>
    <w:rsid w:val="00FB5613"/>
    <w:rsid w:val="00FC3A24"/>
    <w:rsid w:val="00FC6E7E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7D0971"/>
  <w15:docId w15:val="{8BFD0131-3A6E-44D5-A887-6AB4B7AE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2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2F7"/>
    <w:rPr>
      <w:rFonts w:ascii="Tahoma" w:eastAsia="Arial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514BCE"/>
    <w:pPr>
      <w:widowControl/>
      <w:autoSpaceDE/>
      <w:autoSpaceDN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C0D7-B07B-405A-ACD7-09CF2174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2022-08-11T15:36:00Z</cp:lastPrinted>
  <dcterms:created xsi:type="dcterms:W3CDTF">2022-11-23T15:20:00Z</dcterms:created>
  <dcterms:modified xsi:type="dcterms:W3CDTF">2022-11-23T15:20:00Z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