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0"/>
        </w:rPr>
      </w:pPr>
    </w:p>
    <w:p>
      <w:pPr>
        <w:spacing w:before="59"/>
        <w:ind w:left="2707" w:right="2690" w:firstLine="0"/>
        <w:jc w:val="center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32"/>
        </w:rPr>
        <w:t>S</w:t>
      </w:r>
      <w:r>
        <w:rPr>
          <w:rFonts w:ascii="Baskerville Old Face" w:hAnsi="Baskerville Old Face"/>
          <w:sz w:val="26"/>
        </w:rPr>
        <w:t>ISTEMA DE </w:t>
      </w:r>
      <w:r>
        <w:rPr>
          <w:rFonts w:ascii="Baskerville Old Face" w:hAnsi="Baskerville Old Face"/>
          <w:sz w:val="32"/>
        </w:rPr>
        <w:t>G</w:t>
      </w:r>
      <w:r>
        <w:rPr>
          <w:rFonts w:ascii="Baskerville Old Face" w:hAnsi="Baskerville Old Face"/>
          <w:sz w:val="26"/>
        </w:rPr>
        <w:t>ESTIÓN DE LA </w:t>
      </w:r>
      <w:r>
        <w:rPr>
          <w:rFonts w:ascii="Baskerville Old Face" w:hAnsi="Baskerville Old Face"/>
          <w:sz w:val="32"/>
        </w:rPr>
        <w:t>C</w:t>
      </w:r>
      <w:r>
        <w:rPr>
          <w:rFonts w:ascii="Baskerville Old Face" w:hAnsi="Baskerville Old Face"/>
          <w:sz w:val="26"/>
        </w:rPr>
        <w:t>ALIDAD</w:t>
      </w:r>
    </w:p>
    <w:p>
      <w:pPr>
        <w:spacing w:before="55"/>
        <w:ind w:left="2709" w:right="2690" w:firstLine="0"/>
        <w:jc w:val="center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MINISTERIO DE EDUCACIÓN DE GUATEMALA</w:t>
      </w: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pStyle w:val="BodyText"/>
        <w:rPr>
          <w:rFonts w:ascii="Baskerville Old Face"/>
          <w:sz w:val="20"/>
        </w:rPr>
      </w:pPr>
    </w:p>
    <w:p>
      <w:pPr>
        <w:spacing w:before="225"/>
        <w:ind w:left="2702" w:right="2690" w:firstLine="0"/>
        <w:jc w:val="center"/>
        <w:rPr>
          <w:sz w:val="28"/>
        </w:rPr>
      </w:pPr>
      <w:r>
        <w:rPr>
          <w:sz w:val="28"/>
        </w:rPr>
        <w:t>PROCEDIMIENTO</w:t>
      </w:r>
    </w:p>
    <w:p>
      <w:pPr>
        <w:spacing w:line="352" w:lineRule="auto" w:before="240"/>
        <w:ind w:left="2710" w:right="2690" w:firstLine="0"/>
        <w:jc w:val="center"/>
        <w:rPr>
          <w:rFonts w:ascii="Cambria" w:hAnsi="Cambria"/>
          <w:b/>
          <w:sz w:val="44"/>
        </w:rPr>
      </w:pPr>
      <w:r>
        <w:rPr>
          <w:rFonts w:ascii="Cambria" w:hAnsi="Cambria"/>
          <w:b/>
          <w:spacing w:val="-6"/>
          <w:sz w:val="44"/>
        </w:rPr>
        <w:t>INVENTARIO </w:t>
      </w:r>
      <w:r>
        <w:rPr>
          <w:rFonts w:ascii="Cambria" w:hAnsi="Cambria"/>
          <w:b/>
          <w:spacing w:val="4"/>
          <w:sz w:val="44"/>
        </w:rPr>
        <w:t>DE </w:t>
      </w:r>
      <w:r>
        <w:rPr>
          <w:rFonts w:ascii="Cambria" w:hAnsi="Cambria"/>
          <w:b/>
          <w:sz w:val="44"/>
        </w:rPr>
        <w:t>BIENES INV‐PRO‐01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1"/>
        </w:rPr>
      </w:pPr>
    </w:p>
    <w:p>
      <w:pPr>
        <w:pStyle w:val="BodyText"/>
        <w:spacing w:before="92"/>
        <w:ind w:left="2702" w:right="2690"/>
        <w:jc w:val="center"/>
      </w:pPr>
      <w:r>
        <w:rPr/>
        <w:t>Registro y Aprobación</w:t>
      </w:r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559.35pt;height:211.15pt;mso-position-horizontal-relative:char;mso-position-vertical-relative:line" coordorigin="0,0" coordsize="11187,4223">
            <v:shape style="position:absolute;left:0;top:0;width:578;height:4223" type="#_x0000_t75" stroked="false">
              <v:imagedata r:id="rId6" o:title=""/>
            </v:shape>
            <v:shape style="position:absolute;left:577;top:0;width:1152;height:4223" type="#_x0000_t75" stroked="false">
              <v:imagedata r:id="rId7" o:title=""/>
            </v:shape>
            <v:shape style="position:absolute;left:1720;top:0;width:1152;height:4223" type="#_x0000_t75" stroked="false">
              <v:imagedata r:id="rId8" o:title=""/>
            </v:shape>
            <v:shape style="position:absolute;left:2864;top:0;width:1152;height:4223" type="#_x0000_t75" stroked="false">
              <v:imagedata r:id="rId9" o:title=""/>
            </v:shape>
            <v:shape style="position:absolute;left:4008;top:0;width:1152;height:4223" type="#_x0000_t75" stroked="false">
              <v:imagedata r:id="rId10" o:title=""/>
            </v:shape>
            <v:shape style="position:absolute;left:5151;top:0;width:1152;height:4223" type="#_x0000_t75" stroked="false">
              <v:imagedata r:id="rId11" o:title=""/>
            </v:shape>
            <v:shape style="position:absolute;left:6295;top:0;width:1152;height:4223" type="#_x0000_t75" stroked="false">
              <v:imagedata r:id="rId12" o:title=""/>
            </v:shape>
            <v:shape style="position:absolute;left:7438;top:0;width:1152;height:4223" type="#_x0000_t75" stroked="false">
              <v:imagedata r:id="rId13" o:title=""/>
            </v:shape>
            <v:shape style="position:absolute;left:8582;top:0;width:1152;height:4223" type="#_x0000_t75" stroked="false">
              <v:imagedata r:id="rId14" o:title=""/>
            </v:shape>
            <v:shape style="position:absolute;left:9726;top:0;width:1461;height:4223" type="#_x0000_t75" stroked="false">
              <v:imagedata r:id="rId15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34" w:top="1500" w:bottom="520" w:left="420" w:right="3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4526"/>
        <w:gridCol w:w="2421"/>
        <w:gridCol w:w="1559"/>
        <w:gridCol w:w="1833"/>
      </w:tblGrid>
      <w:tr>
        <w:trPr>
          <w:trHeight w:val="562" w:hRule="atLeast"/>
        </w:trPr>
        <w:tc>
          <w:tcPr>
            <w:tcW w:w="860" w:type="dxa"/>
            <w:vMerge w:val="restart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37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7686" cy="420052"/>
                  <wp:effectExtent l="0" t="0" r="0" b="0"/>
                  <wp:docPr id="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86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39" w:type="dxa"/>
            <w:gridSpan w:val="4"/>
          </w:tcPr>
          <w:p>
            <w:pPr>
              <w:pStyle w:val="TableParagraph"/>
              <w:spacing w:before="55"/>
              <w:ind w:left="3725" w:right="3720"/>
              <w:jc w:val="center"/>
              <w:rPr>
                <w:sz w:val="16"/>
              </w:rPr>
            </w:pPr>
            <w:r>
              <w:rPr>
                <w:sz w:val="16"/>
              </w:rPr>
              <w:t>PRO C EDIMI EN TO </w:t>
            </w:r>
          </w:p>
          <w:p>
            <w:pPr>
              <w:pStyle w:val="TableParagraph"/>
              <w:spacing w:line="276" w:lineRule="exact" w:before="27"/>
              <w:ind w:left="3728" w:right="3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INVENTARIO DE BIENES</w:t>
            </w:r>
          </w:p>
        </w:tc>
      </w:tr>
      <w:tr>
        <w:trPr>
          <w:trHeight w:val="213" w:hRule="atLeast"/>
        </w:trPr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>
            <w:pPr>
              <w:pStyle w:val="TableParagraph"/>
              <w:spacing w:line="183" w:lineRule="exact"/>
              <w:ind w:left="1440"/>
              <w:rPr>
                <w:sz w:val="16"/>
              </w:rPr>
            </w:pPr>
            <w:r>
              <w:rPr>
                <w:sz w:val="16"/>
              </w:rPr>
              <w:t>Del proceso: Inventario</w:t>
            </w:r>
          </w:p>
        </w:tc>
        <w:tc>
          <w:tcPr>
            <w:tcW w:w="2421" w:type="dxa"/>
          </w:tcPr>
          <w:p>
            <w:pPr>
              <w:pStyle w:val="TableParagraph"/>
              <w:spacing w:line="183" w:lineRule="exact"/>
              <w:ind w:left="479"/>
              <w:rPr>
                <w:b/>
                <w:sz w:val="16"/>
              </w:rPr>
            </w:pPr>
            <w:r>
              <w:rPr>
                <w:sz w:val="16"/>
              </w:rPr>
              <w:t>Código </w:t>
            </w:r>
            <w:r>
              <w:rPr>
                <w:b/>
                <w:sz w:val="16"/>
              </w:rPr>
              <w:t>INV-PRO-01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33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2 de 4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Heading1"/>
        <w:ind w:left="574"/>
      </w:pPr>
      <w:r>
        <w:rPr>
          <w:u w:val="thick"/>
        </w:rPr>
        <w:t>ÍNDICE DE CONTENIDO</w:t>
      </w:r>
    </w:p>
    <w:p>
      <w:pPr>
        <w:pStyle w:val="BodyText"/>
        <w:spacing w:before="5"/>
        <w:rPr>
          <w:b/>
          <w:sz w:val="17"/>
        </w:rPr>
      </w:pPr>
      <w:r>
        <w:rPr/>
        <w:pict>
          <v:group style="position:absolute;margin-left:49.740002pt;margin-top:12.740723pt;width:446.9pt;height:144.1pt;mso-position-horizontal-relative:page;mso-position-vertical-relative:paragraph;z-index:-251653120;mso-wrap-distance-left:0;mso-wrap-distance-right:0" coordorigin="995,255" coordsize="8938,2882">
            <v:line style="position:absolute" from="995,551" to="1144,551" stroked="true" strokeweight="1.5pt" strokecolor="#000000">
              <v:stroke dashstyle="solid"/>
            </v:line>
            <v:line style="position:absolute" from="1144,551" to="1662,551" stroked="true" strokeweight="1.5pt" strokecolor="#000000">
              <v:stroke dashstyle="solid"/>
            </v:line>
            <v:line style="position:absolute" from="1692,551" to="2287,551" stroked="true" strokeweight="1.5pt" strokecolor="#000000">
              <v:stroke dashstyle="solid"/>
            </v:line>
            <v:line style="position:absolute" from="1677,255" to="1677,3136" stroked="true" strokeweight="1.5pt" strokecolor="#000000">
              <v:stroke dashstyle="solid"/>
            </v:line>
            <v:line style="position:absolute" from="2287,551" to="3431,551" stroked="true" strokeweight="1.5pt" strokecolor="#000000">
              <v:stroke dashstyle="solid"/>
            </v:line>
            <v:line style="position:absolute" from="3431,551" to="4574,551" stroked="true" strokeweight="1.5pt" strokecolor="#000000">
              <v:stroke dashstyle="solid"/>
            </v:line>
            <v:line style="position:absolute" from="4574,551" to="5718,551" stroked="true" strokeweight="1.5pt" strokecolor="#000000">
              <v:stroke dashstyle="solid"/>
            </v:line>
            <v:line style="position:absolute" from="5718,551" to="6862,551" stroked="true" strokeweight="1.5pt" strokecolor="#000000">
              <v:stroke dashstyle="solid"/>
            </v:line>
            <v:line style="position:absolute" from="6862,551" to="8005,551" stroked="true" strokeweight="1.5pt" strokecolor="#000000">
              <v:stroke dashstyle="solid"/>
            </v:line>
            <v:line style="position:absolute" from="8005,551" to="9149,551" stroked="true" strokeweight="1.5pt" strokecolor="#000000">
              <v:stroke dashstyle="solid"/>
            </v:line>
            <v:line style="position:absolute" from="9149,551" to="9932,551" stroked="true" strokeweight="1.5pt" strokecolor="#000000">
              <v:stroke dashstyle="solid"/>
            </v:line>
            <v:shape style="position:absolute;left:1104;top:288;width:485;height:1501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-1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Pág.</w:t>
                    </w:r>
                  </w:p>
                  <w:p>
                    <w:pPr>
                      <w:spacing w:before="83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  <w:p>
                    <w:pPr>
                      <w:spacing w:before="4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  <w:p>
                    <w:pPr>
                      <w:spacing w:before="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>
                    <w:pPr>
                      <w:spacing w:before="27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784;top:288;width:1107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Secciones</w:t>
                    </w:r>
                  </w:p>
                </w:txbxContent>
              </v:textbox>
              <w10:wrap type="none"/>
            </v:shape>
            <v:shape style="position:absolute;left:1784;top:626;width:240;height:1141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A.</w:t>
                    </w:r>
                  </w:p>
                  <w:p>
                    <w:pPr>
                      <w:spacing w:line="252" w:lineRule="exact"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B.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C.</w:t>
                    </w:r>
                  </w:p>
                  <w:p>
                    <w:pPr>
                      <w:spacing w:before="7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D.</w:t>
                    </w:r>
                  </w:p>
                </w:txbxContent>
              </v:textbox>
              <w10:wrap type="none"/>
            </v:shape>
            <v:shape style="position:absolute;left:2206;top:626;width:3733;height:2508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Propósito y alcance del procedimiento</w:t>
                    </w:r>
                  </w:p>
                  <w:p>
                    <w:pPr>
                      <w:spacing w:before="62"/>
                      <w:ind w:left="0" w:right="1097" w:firstLine="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Fundamento Legal Glosario</w:t>
                    </w:r>
                  </w:p>
                  <w:p>
                    <w:pPr>
                      <w:spacing w:before="74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arrativa</w:t>
                    </w:r>
                  </w:p>
                  <w:p>
                    <w:pPr>
                      <w:spacing w:before="51"/>
                      <w:ind w:left="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Alza de bienes muebles</w:t>
                    </w:r>
                  </w:p>
                  <w:p>
                    <w:pPr>
                      <w:spacing w:before="51"/>
                      <w:ind w:left="2" w:right="32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Asignación de bienes muebles Baja de bienes muebles Administración de Inventario Bienes Fungibles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0" w:after="0"/>
        <w:ind w:left="508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PROPÓSITO Y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ALCANCE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tabs>
          <w:tab w:pos="1927" w:val="left" w:leader="none"/>
        </w:tabs>
        <w:spacing w:before="93"/>
        <w:ind w:left="574"/>
      </w:pPr>
      <w:r>
        <w:rPr/>
        <w:t>El</w:t>
      </w:r>
      <w:r>
        <w:rPr>
          <w:spacing w:val="27"/>
        </w:rPr>
        <w:t> </w:t>
      </w:r>
      <w:r>
        <w:rPr/>
        <w:t>presente</w:t>
        <w:tab/>
        <w:t>rocedimiento</w:t>
      </w:r>
      <w:r>
        <w:rPr>
          <w:spacing w:val="26"/>
        </w:rPr>
        <w:t> </w:t>
      </w:r>
      <w:r>
        <w:rPr/>
        <w:t>describe</w:t>
      </w:r>
      <w:r>
        <w:rPr>
          <w:spacing w:val="24"/>
        </w:rPr>
        <w:t> </w:t>
      </w:r>
      <w:r>
        <w:rPr/>
        <w:t>las</w:t>
      </w:r>
      <w:r>
        <w:rPr>
          <w:spacing w:val="26"/>
        </w:rPr>
        <w:t> </w:t>
      </w:r>
      <w:r>
        <w:rPr/>
        <w:t>actividades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32"/>
        </w:rPr>
        <w:t> </w:t>
      </w:r>
      <w:r>
        <w:rPr/>
        <w:t>desarrollan</w:t>
      </w:r>
      <w:r>
        <w:rPr>
          <w:spacing w:val="29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alza,</w:t>
      </w:r>
      <w:r>
        <w:rPr>
          <w:spacing w:val="26"/>
        </w:rPr>
        <w:t> </w:t>
      </w:r>
      <w:r>
        <w:rPr/>
        <w:t>asignación,</w:t>
      </w:r>
      <w:r>
        <w:rPr>
          <w:spacing w:val="25"/>
        </w:rPr>
        <w:t> </w:t>
      </w:r>
      <w:r>
        <w:rPr/>
        <w:t>registro,</w:t>
      </w:r>
    </w:p>
    <w:p>
      <w:pPr>
        <w:pStyle w:val="BodyText"/>
        <w:ind w:left="574" w:right="585"/>
      </w:pPr>
      <w:r>
        <w:rPr/>
        <w:t>guarda y custodia, baja, así como la administración del inventario físico de bienes en inventario en la distintas Dependencias del Ministerio de Educación -MINE</w:t>
      </w:r>
      <w:r>
        <w:rPr>
          <w:b/>
        </w:rPr>
        <w:t>D</w:t>
      </w:r>
      <w:r>
        <w:rPr/>
        <w:t>UC-, las cuales son: alzas de bienes mueble</w:t>
      </w:r>
    </w:p>
    <w:p>
      <w:pPr>
        <w:spacing w:after="0"/>
        <w:sectPr>
          <w:headerReference w:type="default" r:id="rId16"/>
          <w:pgSz w:w="12240" w:h="15840"/>
          <w:pgMar w:header="210" w:footer="334" w:top="400" w:bottom="520" w:left="420" w:right="340"/>
        </w:sectPr>
      </w:pPr>
    </w:p>
    <w:p>
      <w:pPr>
        <w:pStyle w:val="BodyText"/>
        <w:spacing w:line="252" w:lineRule="exact"/>
        <w:ind w:left="574"/>
      </w:pPr>
      <w:r>
        <w:rPr/>
        <w:t>(INV-INS-01), asignación de bienes muebles</w:t>
      </w:r>
    </w:p>
    <w:p>
      <w:pPr>
        <w:pStyle w:val="BodyText"/>
        <w:spacing w:line="252" w:lineRule="exact"/>
        <w:ind w:left="105"/>
      </w:pPr>
      <w:r>
        <w:rPr/>
        <w:br w:type="column"/>
      </w:r>
      <w:r>
        <w:rPr/>
        <w:t>(INV-INS-02), bajas</w:t>
      </w:r>
    </w:p>
    <w:p>
      <w:pPr>
        <w:pStyle w:val="BodyText"/>
        <w:spacing w:line="252" w:lineRule="exact"/>
        <w:ind w:left="111"/>
      </w:pPr>
      <w:r>
        <w:rPr/>
        <w:br w:type="column"/>
      </w:r>
      <w:r>
        <w:rPr/>
        <w:t>de bienes</w:t>
      </w:r>
    </w:p>
    <w:p>
      <w:pPr>
        <w:pStyle w:val="BodyText"/>
        <w:spacing w:line="252" w:lineRule="exact"/>
        <w:ind w:left="106"/>
      </w:pPr>
      <w:r>
        <w:rPr/>
        <w:br w:type="column"/>
      </w:r>
      <w:r>
        <w:rPr/>
        <w:t>muebles (INV-INS-03),</w:t>
      </w:r>
    </w:p>
    <w:p>
      <w:pPr>
        <w:spacing w:after="0" w:line="252" w:lineRule="exact"/>
        <w:sectPr>
          <w:type w:val="continuous"/>
          <w:pgSz w:w="12240" w:h="15840"/>
          <w:pgMar w:top="1500" w:bottom="520" w:left="420" w:right="340"/>
          <w:cols w:num="4" w:equalWidth="0">
            <w:col w:w="5266" w:space="40"/>
            <w:col w:w="2118" w:space="39"/>
            <w:col w:w="1151" w:space="39"/>
            <w:col w:w="2827"/>
          </w:cols>
        </w:sectPr>
      </w:pPr>
    </w:p>
    <w:p>
      <w:pPr>
        <w:pStyle w:val="BodyText"/>
        <w:ind w:left="574" w:right="585"/>
      </w:pPr>
      <w:r>
        <w:rPr/>
        <w:t>administración de inventario (INV-INS-04) y bienes fungibles (INV-INS-05). Además de los documento  que en el futuro se establezcan y que serán incorporados en el presente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1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574" w:val="left" w:leader="none"/>
          <w:tab w:pos="575" w:val="left" w:leader="none"/>
        </w:tabs>
        <w:spacing w:line="240" w:lineRule="auto" w:before="93" w:after="0"/>
        <w:ind w:left="574" w:right="0" w:hanging="427"/>
        <w:jc w:val="left"/>
      </w:pPr>
      <w:r>
        <w:rPr>
          <w:u w:val="thick"/>
        </w:rPr>
        <w:t>FUNDAMENTO</w:t>
      </w:r>
      <w:r>
        <w:rPr>
          <w:spacing w:val="-1"/>
          <w:u w:val="thick"/>
        </w:rPr>
        <w:t> </w:t>
      </w:r>
      <w:r>
        <w:rPr>
          <w:u w:val="thick"/>
        </w:rPr>
        <w:t>LEGAL: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before="92"/>
        <w:ind w:left="572"/>
      </w:pPr>
      <w:r>
        <w:rPr/>
        <w:t>El tema de Inventarios queda legalmente establecido en los siguientes documentos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520" w:left="420" w:right="340"/>
        </w:sectPr>
      </w:pP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93" w:after="0"/>
        <w:ind w:left="933" w:right="0" w:hanging="362"/>
        <w:jc w:val="left"/>
        <w:rPr>
          <w:sz w:val="22"/>
        </w:rPr>
      </w:pPr>
      <w:r>
        <w:rPr>
          <w:spacing w:val="-3"/>
          <w:sz w:val="22"/>
        </w:rPr>
        <w:t>Acuerdo</w:t>
      </w:r>
    </w:p>
    <w:p>
      <w:pPr>
        <w:pStyle w:val="BodyText"/>
        <w:spacing w:before="93"/>
        <w:ind w:left="119"/>
      </w:pPr>
      <w:r>
        <w:rPr/>
        <w:br w:type="column"/>
      </w:r>
      <w:r>
        <w:rPr/>
        <w:t>Gubernativo número</w:t>
      </w:r>
    </w:p>
    <w:p>
      <w:pPr>
        <w:pStyle w:val="BodyText"/>
        <w:spacing w:before="93"/>
        <w:ind w:left="120"/>
      </w:pPr>
      <w:r>
        <w:rPr/>
        <w:br w:type="column"/>
      </w:r>
      <w:r>
        <w:rPr/>
        <w:t>217-94 </w:t>
      </w:r>
      <w:r>
        <w:rPr>
          <w:spacing w:val="-3"/>
        </w:rPr>
        <w:t>“Reglamento</w:t>
      </w:r>
    </w:p>
    <w:p>
      <w:pPr>
        <w:pStyle w:val="BodyText"/>
        <w:spacing w:before="93"/>
        <w:ind w:left="129"/>
      </w:pPr>
      <w:r>
        <w:rPr/>
        <w:br w:type="column"/>
      </w:r>
      <w:r>
        <w:rPr/>
        <w:t>de Inventarios de los Bienes</w:t>
      </w:r>
    </w:p>
    <w:p>
      <w:pPr>
        <w:pStyle w:val="BodyText"/>
        <w:spacing w:before="93"/>
        <w:ind w:left="123"/>
      </w:pPr>
      <w:r>
        <w:rPr/>
        <w:br w:type="column"/>
      </w:r>
      <w:r>
        <w:rPr/>
        <w:t>Muebles de la</w:t>
      </w:r>
    </w:p>
    <w:p>
      <w:pPr>
        <w:spacing w:after="0"/>
        <w:sectPr>
          <w:type w:val="continuous"/>
          <w:pgSz w:w="12240" w:h="15840"/>
          <w:pgMar w:top="1500" w:bottom="520" w:left="420" w:right="340"/>
          <w:cols w:num="5" w:equalWidth="0">
            <w:col w:w="1754" w:space="40"/>
            <w:col w:w="2223" w:space="39"/>
            <w:col w:w="2226" w:space="39"/>
            <w:col w:w="3302" w:space="39"/>
            <w:col w:w="1818"/>
          </w:cols>
        </w:sectPr>
      </w:pPr>
    </w:p>
    <w:p>
      <w:pPr>
        <w:pStyle w:val="BodyText"/>
        <w:ind w:left="933"/>
      </w:pPr>
      <w:r>
        <w:rPr/>
        <w:t>Administración Publica” de fecha 11 de mayo de 1994. los bienes muebles de la administración pública.</w:t>
      </w:r>
    </w:p>
    <w:p>
      <w:pPr>
        <w:pStyle w:val="BodyText"/>
        <w:ind w:left="194"/>
      </w:pPr>
      <w:r>
        <w:rPr/>
        <w:br w:type="column"/>
      </w:r>
      <w:r>
        <w:rPr/>
        <w:t>Que contiene el reglamento para Inventarios de</w:t>
      </w:r>
    </w:p>
    <w:p>
      <w:pPr>
        <w:spacing w:after="0"/>
        <w:sectPr>
          <w:type w:val="continuous"/>
          <w:pgSz w:w="12240" w:h="15840"/>
          <w:pgMar w:top="1500" w:bottom="520" w:left="420" w:right="340"/>
          <w:cols w:num="2" w:equalWidth="0">
            <w:col w:w="6377" w:space="40"/>
            <w:col w:w="5063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93" w:after="0"/>
        <w:ind w:left="933" w:right="0" w:hanging="362"/>
        <w:jc w:val="left"/>
        <w:rPr>
          <w:sz w:val="22"/>
        </w:rPr>
      </w:pPr>
      <w:r>
        <w:rPr>
          <w:sz w:val="22"/>
        </w:rPr>
        <w:t>Circular número 3-57 “Instrucciones sobre Inventarios </w:t>
      </w:r>
      <w:r>
        <w:rPr>
          <w:spacing w:val="4"/>
          <w:sz w:val="22"/>
        </w:rPr>
        <w:t>de </w:t>
      </w:r>
      <w:r>
        <w:rPr>
          <w:sz w:val="22"/>
        </w:rPr>
        <w:t>Oficinas Públicas”, de fecha 01 de diciembre</w:t>
      </w:r>
      <w:r>
        <w:rPr>
          <w:spacing w:val="32"/>
          <w:sz w:val="22"/>
        </w:rPr>
        <w:t> </w:t>
      </w:r>
      <w:r>
        <w:rPr>
          <w:sz w:val="22"/>
        </w:rPr>
        <w:t>de</w:t>
      </w:r>
    </w:p>
    <w:p>
      <w:pPr>
        <w:pStyle w:val="BodyText"/>
        <w:tabs>
          <w:tab w:pos="1741" w:val="left" w:leader="none"/>
        </w:tabs>
        <w:ind w:left="933"/>
      </w:pPr>
      <w:r>
        <w:rPr/>
        <w:t>1969.</w:t>
        <w:tab/>
        <w:t>Que contiene las instrucciones generales sobre la formulación de los inventarios, tiempo</w:t>
      </w:r>
      <w:r>
        <w:rPr>
          <w:spacing w:val="31"/>
        </w:rPr>
        <w:t> </w:t>
      </w:r>
      <w:r>
        <w:rPr/>
        <w:t>a</w:t>
      </w:r>
    </w:p>
    <w:p>
      <w:pPr>
        <w:pStyle w:val="BodyText"/>
        <w:ind w:left="933"/>
      </w:pPr>
      <w:r>
        <w:rPr/>
        <w:t>realizarse, registro de alzas y bajas y algunos ejemplos de formatos para trabajar el inventario.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93" w:after="0"/>
        <w:ind w:left="933" w:right="133" w:hanging="362"/>
        <w:jc w:val="left"/>
        <w:rPr>
          <w:sz w:val="22"/>
        </w:rPr>
      </w:pPr>
      <w:r>
        <w:rPr>
          <w:sz w:val="22"/>
        </w:rPr>
        <w:t>Manual de Inventarios Activos Fijos del SICOIN WEB, aprobado por medio de Resolución número </w:t>
      </w:r>
      <w:r>
        <w:rPr>
          <w:spacing w:val="-3"/>
          <w:sz w:val="22"/>
        </w:rPr>
        <w:t>DCE- </w:t>
      </w:r>
      <w:r>
        <w:rPr>
          <w:sz w:val="22"/>
        </w:rPr>
        <w:t>01-2015 de fecha 26 de enero de 2015 del Ministerio de Finanzas</w:t>
      </w:r>
      <w:r>
        <w:rPr>
          <w:spacing w:val="-3"/>
          <w:sz w:val="22"/>
        </w:rPr>
        <w:t> </w:t>
      </w:r>
      <w:r>
        <w:rPr>
          <w:sz w:val="22"/>
        </w:rPr>
        <w:t>Públicas.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520" w:left="420" w:right="340"/>
        </w:sectPr>
      </w:pP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93" w:after="0"/>
        <w:ind w:left="933" w:right="0" w:hanging="362"/>
        <w:jc w:val="left"/>
        <w:rPr>
          <w:sz w:val="22"/>
        </w:rPr>
      </w:pPr>
      <w:r>
        <w:rPr>
          <w:sz w:val="22"/>
        </w:rPr>
        <w:t>Manual de</w:t>
      </w:r>
      <w:r>
        <w:rPr>
          <w:spacing w:val="40"/>
          <w:sz w:val="22"/>
        </w:rPr>
        <w:t> </w:t>
      </w:r>
      <w:r>
        <w:rPr>
          <w:sz w:val="22"/>
        </w:rPr>
        <w:t>Registro</w:t>
      </w:r>
    </w:p>
    <w:p>
      <w:pPr>
        <w:pStyle w:val="BodyText"/>
        <w:spacing w:before="93"/>
        <w:ind w:left="79"/>
      </w:pPr>
      <w:r>
        <w:rPr/>
        <w:br w:type="column"/>
      </w:r>
      <w:r>
        <w:rPr/>
        <w:t>de Donaciones aprobado por el</w:t>
      </w:r>
    </w:p>
    <w:p>
      <w:pPr>
        <w:pStyle w:val="BodyText"/>
        <w:spacing w:before="93"/>
        <w:ind w:left="88"/>
      </w:pPr>
      <w:r>
        <w:rPr/>
        <w:br w:type="column"/>
      </w:r>
      <w:r>
        <w:rPr/>
        <w:t>Acuerdo Ministerial 523-2014 del Ministerio de</w:t>
      </w:r>
    </w:p>
    <w:p>
      <w:pPr>
        <w:spacing w:after="0"/>
        <w:sectPr>
          <w:type w:val="continuous"/>
          <w:pgSz w:w="12240" w:h="15840"/>
          <w:pgMar w:top="1500" w:bottom="520" w:left="420" w:right="340"/>
          <w:cols w:num="3" w:equalWidth="0">
            <w:col w:w="2961" w:space="40"/>
            <w:col w:w="3391" w:space="39"/>
            <w:col w:w="5049"/>
          </w:cols>
        </w:sectPr>
      </w:pPr>
    </w:p>
    <w:p>
      <w:pPr>
        <w:pStyle w:val="BodyText"/>
        <w:ind w:left="933"/>
      </w:pPr>
      <w:r>
        <w:rPr/>
        <w:t>Finanzas Públicas con fecha 23 de diciembre de 2014</w:t>
      </w:r>
    </w:p>
    <w:p>
      <w:pPr>
        <w:spacing w:after="0"/>
        <w:sectPr>
          <w:type w:val="continuous"/>
          <w:pgSz w:w="12240" w:h="15840"/>
          <w:pgMar w:top="1500" w:bottom="520" w:left="420" w:right="3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4526"/>
        <w:gridCol w:w="2421"/>
        <w:gridCol w:w="1559"/>
        <w:gridCol w:w="1833"/>
      </w:tblGrid>
      <w:tr>
        <w:trPr>
          <w:trHeight w:val="562" w:hRule="atLeast"/>
        </w:trPr>
        <w:tc>
          <w:tcPr>
            <w:tcW w:w="860" w:type="dxa"/>
            <w:vMerge w:val="restart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37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7686" cy="420052"/>
                  <wp:effectExtent l="0" t="0" r="0" b="0"/>
                  <wp:docPr id="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86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39" w:type="dxa"/>
            <w:gridSpan w:val="4"/>
          </w:tcPr>
          <w:p>
            <w:pPr>
              <w:pStyle w:val="TableParagraph"/>
              <w:spacing w:before="55"/>
              <w:ind w:left="3725" w:right="3720"/>
              <w:jc w:val="center"/>
              <w:rPr>
                <w:sz w:val="16"/>
              </w:rPr>
            </w:pPr>
            <w:r>
              <w:rPr>
                <w:sz w:val="16"/>
              </w:rPr>
              <w:t>PRO C EDIMI EN TO </w:t>
            </w:r>
          </w:p>
          <w:p>
            <w:pPr>
              <w:pStyle w:val="TableParagraph"/>
              <w:spacing w:line="276" w:lineRule="exact" w:before="27"/>
              <w:ind w:left="3728" w:right="3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INVENTARIO DE BIENES</w:t>
            </w:r>
          </w:p>
        </w:tc>
      </w:tr>
      <w:tr>
        <w:trPr>
          <w:trHeight w:val="213" w:hRule="atLeast"/>
        </w:trPr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>
            <w:pPr>
              <w:pStyle w:val="TableParagraph"/>
              <w:spacing w:line="183" w:lineRule="exact"/>
              <w:ind w:left="1440"/>
              <w:rPr>
                <w:sz w:val="16"/>
              </w:rPr>
            </w:pPr>
            <w:r>
              <w:rPr>
                <w:sz w:val="16"/>
              </w:rPr>
              <w:t>Del proceso: Inventario</w:t>
            </w:r>
          </w:p>
        </w:tc>
        <w:tc>
          <w:tcPr>
            <w:tcW w:w="2421" w:type="dxa"/>
          </w:tcPr>
          <w:p>
            <w:pPr>
              <w:pStyle w:val="TableParagraph"/>
              <w:spacing w:line="183" w:lineRule="exact"/>
              <w:ind w:left="479"/>
              <w:rPr>
                <w:b/>
                <w:sz w:val="16"/>
              </w:rPr>
            </w:pPr>
            <w:r>
              <w:rPr>
                <w:sz w:val="16"/>
              </w:rPr>
              <w:t>Código </w:t>
            </w:r>
            <w:r>
              <w:rPr>
                <w:b/>
                <w:sz w:val="16"/>
              </w:rPr>
              <w:t>INV-PRO-01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33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3 de 4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74" w:val="left" w:leader="none"/>
          <w:tab w:pos="575" w:val="left" w:leader="none"/>
        </w:tabs>
        <w:spacing w:line="240" w:lineRule="auto" w:before="93" w:after="0"/>
        <w:ind w:left="574" w:right="0" w:hanging="427"/>
        <w:jc w:val="left"/>
      </w:pPr>
      <w:r>
        <w:rPr>
          <w:u w:val="thick"/>
        </w:rPr>
        <w:t>GLOSARIO</w:t>
      </w:r>
    </w:p>
    <w:p>
      <w:pPr>
        <w:pStyle w:val="BodyText"/>
        <w:spacing w:before="8"/>
        <w:rPr>
          <w:b/>
          <w:sz w:val="18"/>
        </w:rPr>
      </w:pPr>
      <w:r>
        <w:rPr/>
        <w:pict>
          <v:group style="position:absolute;margin-left:27.059999pt;margin-top:12.740683pt;width:562.65pt;height:.5pt;mso-position-horizontal-relative:page;mso-position-vertical-relative:paragraph;z-index:-251652096;mso-wrap-distance-left:0;mso-wrap-distance-right:0" coordorigin="541,255" coordsize="11253,10">
            <v:line style="position:absolute" from="541,260" to="1144,260" stroked="true" strokeweight=".48004pt" strokecolor="#7f7f7f">
              <v:stroke dashstyle="solid"/>
            </v:line>
            <v:line style="position:absolute" from="1144,260" to="2287,260" stroked="true" strokeweight=".48004pt" strokecolor="#7f7f7f">
              <v:stroke dashstyle="solid"/>
            </v:line>
            <v:line style="position:absolute" from="2287,260" to="3431,260" stroked="true" strokeweight=".48004pt" strokecolor="#7f7f7f">
              <v:stroke dashstyle="solid"/>
            </v:line>
            <v:line style="position:absolute" from="3431,260" to="4574,260" stroked="true" strokeweight=".48004pt" strokecolor="#7f7f7f">
              <v:stroke dashstyle="solid"/>
            </v:line>
            <v:line style="position:absolute" from="4574,260" to="5718,260" stroked="true" strokeweight=".48004pt" strokecolor="#7f7f7f">
              <v:stroke dashstyle="solid"/>
            </v:line>
            <v:line style="position:absolute" from="5718,260" to="6862,260" stroked="true" strokeweight=".48004pt" strokecolor="#7f7f7f">
              <v:stroke dashstyle="solid"/>
            </v:line>
            <v:line style="position:absolute" from="6862,260" to="8005,260" stroked="true" strokeweight=".48pt" strokecolor="#7f7f7f">
              <v:stroke dashstyle="solid"/>
            </v:line>
            <v:line style="position:absolute" from="8005,260" to="9149,260" stroked="true" strokeweight=".48004pt" strokecolor="#7f7f7f">
              <v:stroke dashstyle="solid"/>
            </v:line>
            <v:line style="position:absolute" from="9149,260" to="10292,260" stroked="true" strokeweight=".48004pt" strokecolor="#7f7f7f">
              <v:stroke dashstyle="solid"/>
            </v:line>
            <v:line style="position:absolute" from="10292,260" to="11436,260" stroked="true" strokeweight=".48004pt" strokecolor="#7f7f7f">
              <v:stroke dashstyle="solid"/>
            </v:line>
            <v:line style="position:absolute" from="11436,260" to="11794,260" stroked="true" strokeweight=".48004pt" strokecolor="#7f7f7f">
              <v:stroke dashstyle="solid"/>
            </v:line>
            <w10:wrap type="topAndBottom"/>
          </v:group>
        </w:pict>
      </w:r>
    </w:p>
    <w:p>
      <w:pPr>
        <w:pStyle w:val="BodyText"/>
        <w:spacing w:line="288" w:lineRule="auto" w:before="93"/>
        <w:ind w:left="2944" w:hanging="3"/>
      </w:pPr>
      <w:r>
        <w:rPr/>
        <w:t>Son los bienes que no pueden ser </w:t>
      </w:r>
      <w:r>
        <w:rPr>
          <w:b/>
        </w:rPr>
        <w:t>r</w:t>
      </w:r>
      <w:r>
        <w:rPr/>
        <w:t>eemplazados por otros de las mismas cualidades (Decreto Ley 106, artículo 454 “Código Civil”).</w:t>
      </w:r>
    </w:p>
    <w:p>
      <w:pPr>
        <w:spacing w:after="0" w:line="288" w:lineRule="auto"/>
        <w:sectPr>
          <w:pgSz w:w="12240" w:h="15840"/>
          <w:pgMar w:header="210" w:footer="334" w:top="400" w:bottom="520" w:left="420" w:right="340"/>
        </w:sectPr>
      </w:pPr>
    </w:p>
    <w:p>
      <w:pPr>
        <w:pStyle w:val="BodyText"/>
        <w:spacing w:before="120"/>
        <w:jc w:val="right"/>
      </w:pPr>
      <w:r>
        <w:rPr/>
        <w:t>La vida útil</w:t>
      </w:r>
    </w:p>
    <w:p>
      <w:pPr>
        <w:pStyle w:val="BodyText"/>
        <w:spacing w:before="120"/>
        <w:ind w:left="65"/>
      </w:pPr>
      <w:r>
        <w:rPr/>
        <w:br w:type="column"/>
      </w:r>
      <w:r>
        <w:rPr/>
        <w:t>de estos bienes se estima en más de cinco</w:t>
      </w:r>
    </w:p>
    <w:p>
      <w:pPr>
        <w:pStyle w:val="BodyText"/>
        <w:spacing w:before="120"/>
        <w:ind w:left="67"/>
      </w:pPr>
      <w:r>
        <w:rPr/>
        <w:br w:type="column"/>
      </w:r>
      <w:r>
        <w:rPr/>
        <w:t>años, o que son menos</w:t>
      </w:r>
    </w:p>
    <w:p>
      <w:pPr>
        <w:spacing w:after="0"/>
        <w:sectPr>
          <w:type w:val="continuous"/>
          <w:pgSz w:w="12240" w:h="15840"/>
          <w:pgMar w:top="1500" w:bottom="520" w:left="420" w:right="340"/>
          <w:cols w:num="3" w:equalWidth="0">
            <w:col w:w="4087" w:space="40"/>
            <w:col w:w="4651" w:space="39"/>
            <w:col w:w="2663"/>
          </w:cols>
        </w:sectPr>
      </w:pPr>
    </w:p>
    <w:p>
      <w:pPr>
        <w:pStyle w:val="BodyText"/>
        <w:spacing w:line="252" w:lineRule="exact" w:before="51"/>
        <w:jc w:val="right"/>
      </w:pPr>
      <w:r>
        <w:rPr/>
        <w:t>susceptibles</w:t>
      </w:r>
    </w:p>
    <w:p>
      <w:pPr>
        <w:pStyle w:val="BodyText"/>
        <w:spacing w:line="252" w:lineRule="exact" w:before="51"/>
        <w:ind w:left="69"/>
      </w:pPr>
      <w:r>
        <w:rPr/>
        <w:br w:type="column"/>
      </w:r>
      <w:r>
        <w:rPr/>
        <w:t>al </w:t>
      </w:r>
      <w:r>
        <w:rPr>
          <w:spacing w:val="-3"/>
        </w:rPr>
        <w:t>rápido</w:t>
      </w:r>
    </w:p>
    <w:p>
      <w:pPr>
        <w:pStyle w:val="BodyText"/>
        <w:spacing w:line="252" w:lineRule="exact" w:before="51"/>
        <w:ind w:left="66"/>
      </w:pPr>
      <w:r>
        <w:rPr/>
        <w:br w:type="column"/>
      </w:r>
      <w:r>
        <w:rPr/>
        <w:t>deterioro </w:t>
      </w:r>
      <w:r>
        <w:rPr>
          <w:spacing w:val="-17"/>
        </w:rPr>
        <w:t>y</w:t>
      </w:r>
    </w:p>
    <w:p>
      <w:pPr>
        <w:pStyle w:val="BodyText"/>
        <w:spacing w:line="252" w:lineRule="exact" w:before="51"/>
        <w:ind w:left="77"/>
      </w:pPr>
      <w:r>
        <w:rPr/>
        <w:br w:type="column"/>
      </w:r>
      <w:r>
        <w:rPr/>
        <w:t>pueden tener cierta durabilidad en cuanto a su</w:t>
      </w:r>
    </w:p>
    <w:p>
      <w:pPr>
        <w:spacing w:after="0" w:line="252" w:lineRule="exact"/>
        <w:sectPr>
          <w:type w:val="continuous"/>
          <w:pgSz w:w="12240" w:h="15840"/>
          <w:pgMar w:top="1500" w:bottom="520" w:left="420" w:right="340"/>
          <w:cols w:num="4" w:equalWidth="0">
            <w:col w:w="4154" w:space="40"/>
            <w:col w:w="964" w:space="39"/>
            <w:col w:w="1155" w:space="39"/>
            <w:col w:w="5089"/>
          </w:cols>
        </w:sectPr>
      </w:pPr>
    </w:p>
    <w:p>
      <w:pPr>
        <w:pStyle w:val="Heading1"/>
        <w:spacing w:line="127" w:lineRule="auto" w:before="19"/>
        <w:ind w:left="148"/>
      </w:pPr>
      <w:r>
        <w:rPr>
          <w:position w:val="-14"/>
        </w:rPr>
        <w:t>1.- </w:t>
      </w:r>
      <w:r>
        <w:rPr/>
        <w:t>Bienes muebles / o</w:t>
      </w:r>
      <w:r>
        <w:rPr>
          <w:spacing w:val="-17"/>
        </w:rPr>
        <w:t> </w:t>
      </w:r>
      <w:r>
        <w:rPr/>
        <w:t>no</w:t>
      </w:r>
    </w:p>
    <w:p>
      <w:pPr>
        <w:pStyle w:val="BodyText"/>
        <w:spacing w:line="252" w:lineRule="exact" w:before="51"/>
        <w:ind w:left="121"/>
      </w:pPr>
      <w:r>
        <w:rPr/>
        <w:br w:type="column"/>
      </w:r>
      <w:r>
        <w:rPr/>
        <w:t>existencia: mobiliario, e uipo, maquinaria, herramienta, vehículos, semovientes, entre</w:t>
      </w:r>
    </w:p>
    <w:p>
      <w:pPr>
        <w:spacing w:after="0" w:line="252" w:lineRule="exact"/>
        <w:sectPr>
          <w:type w:val="continuous"/>
          <w:pgSz w:w="12240" w:h="15840"/>
          <w:pgMar w:top="1500" w:bottom="520" w:left="420" w:right="340"/>
          <w:cols w:num="2" w:equalWidth="0">
            <w:col w:w="2783" w:space="40"/>
            <w:col w:w="8657"/>
          </w:cols>
        </w:sectPr>
      </w:pPr>
    </w:p>
    <w:p>
      <w:pPr>
        <w:pStyle w:val="Heading1"/>
        <w:spacing w:line="246" w:lineRule="exact" w:before="0"/>
      </w:pPr>
      <w:r>
        <w:rPr/>
        <w:t>fungibles</w:t>
      </w:r>
    </w:p>
    <w:p>
      <w:pPr>
        <w:pStyle w:val="BodyText"/>
        <w:spacing w:line="288" w:lineRule="auto" w:before="51"/>
        <w:ind w:left="463" w:right="133"/>
        <w:jc w:val="both"/>
      </w:pPr>
      <w:r>
        <w:rPr/>
        <w:br w:type="column"/>
      </w:r>
      <w:r>
        <w:rPr/>
        <w:t>otros, que se utilizan en cada oficina, dependencia o establecimiento del Estado, los cuales deben estar debidamente registrados en el Sistema de Contabilidad</w:t>
      </w:r>
      <w:r>
        <w:rPr>
          <w:spacing w:val="52"/>
        </w:rPr>
        <w:t> </w:t>
      </w:r>
      <w:r>
        <w:rPr/>
        <w:t>Integrada</w:t>
      </w:r>
    </w:p>
    <w:p>
      <w:pPr>
        <w:pStyle w:val="BodyText"/>
        <w:spacing w:line="288" w:lineRule="auto"/>
        <w:ind w:left="460" w:right="133" w:firstLine="2"/>
        <w:jc w:val="both"/>
      </w:pPr>
      <w:r>
        <w:rPr/>
        <w:t>-SICOIN WEB-, para llevar el control del ingreso y resguardo de los mismos. Estos bienes deben haber sido adquiridos bajo el grupo de gasto 300 “Propiedad, Planta, Equipo e Intangibles”.</w:t>
      </w:r>
    </w:p>
    <w:p>
      <w:pPr>
        <w:spacing w:after="0" w:line="288" w:lineRule="auto"/>
        <w:jc w:val="both"/>
        <w:sectPr>
          <w:type w:val="continuous"/>
          <w:pgSz w:w="12240" w:h="15840"/>
          <w:pgMar w:top="1500" w:bottom="520" w:left="420" w:right="340"/>
          <w:cols w:num="2" w:equalWidth="0">
            <w:col w:w="1481" w:space="1001"/>
            <w:col w:w="899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562.65pt;height:.5pt;mso-position-horizontal-relative:char;mso-position-vertical-relative:line" coordorigin="0,0" coordsize="11253,10">
            <v:line style="position:absolute" from="0,5" to="602,5" stroked="true" strokeweight=".48004pt" strokecolor="#7f7f7f">
              <v:stroke dashstyle="solid"/>
            </v:line>
            <v:line style="position:absolute" from="602,5" to="1746,5" stroked="true" strokeweight=".48004pt" strokecolor="#7f7f7f">
              <v:stroke dashstyle="solid"/>
            </v:line>
            <v:line style="position:absolute" from="1746,5" to="2890,5" stroked="true" strokeweight=".48004pt" strokecolor="#7f7f7f">
              <v:stroke dashstyle="solid"/>
            </v:line>
            <v:line style="position:absolute" from="2890,5" to="4033,5" stroked="true" strokeweight=".48004pt" strokecolor="#7f7f7f">
              <v:stroke dashstyle="solid"/>
            </v:line>
            <v:line style="position:absolute" from="4033,5" to="5177,5" stroked="true" strokeweight=".48004pt" strokecolor="#7f7f7f">
              <v:stroke dashstyle="solid"/>
            </v:line>
            <v:line style="position:absolute" from="5177,5" to="6320,5" stroked="true" strokeweight=".48004pt" strokecolor="#7f7f7f">
              <v:stroke dashstyle="solid"/>
            </v:line>
            <v:line style="position:absolute" from="6320,5" to="7464,5" stroked="true" strokeweight=".48pt" strokecolor="#7f7f7f">
              <v:stroke dashstyle="solid"/>
            </v:line>
            <v:line style="position:absolute" from="7464,5" to="8608,5" stroked="true" strokeweight=".48004pt" strokecolor="#7f7f7f">
              <v:stroke dashstyle="solid"/>
            </v:line>
            <v:line style="position:absolute" from="8608,5" to="9751,5" stroked="true" strokeweight=".48004pt" strokecolor="#7f7f7f">
              <v:stroke dashstyle="solid"/>
            </v:line>
            <v:line style="position:absolute" from="9751,5" to="10895,5" stroked="true" strokeweight=".48004pt" strokecolor="#7f7f7f">
              <v:stroke dashstyle="solid"/>
            </v:line>
            <v:line style="position:absolute" from="10895,5" to="11252,5" stroked="true" strokeweight=".48004pt" strokecolor="#7f7f7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500" w:bottom="520" w:left="420" w:right="340"/>
        </w:sectPr>
      </w:pPr>
    </w:p>
    <w:p>
      <w:pPr>
        <w:pStyle w:val="BodyText"/>
        <w:spacing w:before="41"/>
        <w:jc w:val="right"/>
      </w:pPr>
      <w:r>
        <w:rPr/>
        <w:t>Son todos</w:t>
      </w:r>
    </w:p>
    <w:p>
      <w:pPr>
        <w:pStyle w:val="BodyText"/>
        <w:spacing w:before="41"/>
        <w:ind w:left="71"/>
      </w:pPr>
      <w:r>
        <w:rPr/>
        <w:br w:type="column"/>
      </w:r>
      <w:r>
        <w:rPr/>
        <w:t>aquellos bienes que se consumen</w:t>
      </w:r>
    </w:p>
    <w:p>
      <w:pPr>
        <w:pStyle w:val="BodyText"/>
        <w:spacing w:before="41"/>
        <w:ind w:left="79"/>
      </w:pPr>
      <w:r>
        <w:rPr/>
        <w:br w:type="column"/>
      </w:r>
      <w:r>
        <w:rPr/>
        <w:t>con el uso (Diccionario de la Real</w:t>
      </w:r>
    </w:p>
    <w:p>
      <w:pPr>
        <w:spacing w:after="0"/>
        <w:sectPr>
          <w:type w:val="continuous"/>
          <w:pgSz w:w="12240" w:h="15840"/>
          <w:pgMar w:top="1500" w:bottom="520" w:left="420" w:right="340"/>
          <w:cols w:num="3" w:equalWidth="0">
            <w:col w:w="3987" w:space="40"/>
            <w:col w:w="3615" w:space="39"/>
            <w:col w:w="3799"/>
          </w:cols>
        </w:sectPr>
      </w:pPr>
    </w:p>
    <w:p>
      <w:pPr>
        <w:pStyle w:val="Heading1"/>
        <w:spacing w:before="52"/>
        <w:ind w:left="148"/>
      </w:pPr>
      <w:r>
        <w:rPr/>
        <w:t>2.- Bienes fungibles</w:t>
      </w:r>
    </w:p>
    <w:p>
      <w:pPr>
        <w:pStyle w:val="BodyText"/>
        <w:spacing w:line="288" w:lineRule="auto" w:before="50"/>
        <w:ind w:left="151" w:right="197" w:hanging="3"/>
      </w:pPr>
      <w:r>
        <w:rPr/>
        <w:br w:type="column"/>
      </w:r>
      <w:r>
        <w:rPr/>
        <w:t>Academia Española) pueden ser substituidos por otros de la misma especie, calidad  y cantidad (Decreto Ley 206 “Código Civil”, Artículo</w:t>
      </w:r>
      <w:r>
        <w:rPr>
          <w:spacing w:val="-6"/>
        </w:rPr>
        <w:t> </w:t>
      </w:r>
      <w:r>
        <w:rPr/>
        <w:t>454).</w:t>
      </w:r>
    </w:p>
    <w:p>
      <w:pPr>
        <w:spacing w:after="0" w:line="288" w:lineRule="auto"/>
        <w:sectPr>
          <w:type w:val="continuous"/>
          <w:pgSz w:w="12240" w:h="15840"/>
          <w:pgMar w:top="1500" w:bottom="520" w:left="420" w:right="340"/>
          <w:cols w:num="2" w:equalWidth="0">
            <w:col w:w="2261" w:space="533"/>
            <w:col w:w="8686"/>
          </w:cols>
        </w:sectPr>
      </w:pPr>
    </w:p>
    <w:p>
      <w:pPr>
        <w:pStyle w:val="BodyText"/>
        <w:spacing w:before="7" w:after="1"/>
        <w:rPr>
          <w:sz w:val="10"/>
        </w:r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562.65pt;height:.5pt;mso-position-horizontal-relative:char;mso-position-vertical-relative:line" coordorigin="0,0" coordsize="11253,10">
            <v:line style="position:absolute" from="0,5" to="602,5" stroked="true" strokeweight=".48001pt" strokecolor="#7f7f7f">
              <v:stroke dashstyle="solid"/>
            </v:line>
            <v:line style="position:absolute" from="602,5" to="1746,5" stroked="true" strokeweight=".48001pt" strokecolor="#7f7f7f">
              <v:stroke dashstyle="solid"/>
            </v:line>
            <v:line style="position:absolute" from="1746,5" to="2890,5" stroked="true" strokeweight=".48001pt" strokecolor="#7f7f7f">
              <v:stroke dashstyle="solid"/>
            </v:line>
            <v:line style="position:absolute" from="2890,5" to="4033,5" stroked="true" strokeweight=".48001pt" strokecolor="#7f7f7f">
              <v:stroke dashstyle="solid"/>
            </v:line>
            <v:line style="position:absolute" from="4033,5" to="5177,5" stroked="true" strokeweight=".48001pt" strokecolor="#7f7f7f">
              <v:stroke dashstyle="solid"/>
            </v:line>
            <v:line style="position:absolute" from="5177,5" to="6320,5" stroked="true" strokeweight=".48001pt" strokecolor="#7f7f7f">
              <v:stroke dashstyle="solid"/>
            </v:line>
            <v:line style="position:absolute" from="6320,5" to="7464,5" stroked="true" strokeweight=".48pt" strokecolor="#7f7f7f">
              <v:stroke dashstyle="solid"/>
            </v:line>
            <v:line style="position:absolute" from="7464,5" to="8608,5" stroked="true" strokeweight=".48001pt" strokecolor="#7f7f7f">
              <v:stroke dashstyle="solid"/>
            </v:line>
            <v:line style="position:absolute" from="8608,5" to="9751,5" stroked="true" strokeweight=".48001pt" strokecolor="#7f7f7f">
              <v:stroke dashstyle="solid"/>
            </v:line>
            <v:line style="position:absolute" from="9751,5" to="10895,5" stroked="true" strokeweight=".48001pt" strokecolor="#7f7f7f">
              <v:stroke dashstyle="solid"/>
            </v:line>
            <v:line style="position:absolute" from="10895,5" to="11252,5" stroked="true" strokeweight=".48001pt" strokecolor="#7f7f7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500" w:bottom="520" w:left="420" w:right="340"/>
        </w:sectPr>
      </w:pPr>
    </w:p>
    <w:p>
      <w:pPr>
        <w:pStyle w:val="BodyText"/>
        <w:spacing w:before="4"/>
      </w:pPr>
    </w:p>
    <w:p>
      <w:pPr>
        <w:pStyle w:val="Heading1"/>
        <w:spacing w:line="244" w:lineRule="auto" w:before="0"/>
        <w:ind w:right="22" w:hanging="312"/>
      </w:pPr>
      <w:r>
        <w:rPr>
          <w:position w:val="-8"/>
        </w:rPr>
        <w:t>3. </w:t>
      </w:r>
      <w:r>
        <w:rPr/>
        <w:t>Factura cambiaria</w:t>
      </w:r>
    </w:p>
    <w:p>
      <w:pPr>
        <w:pStyle w:val="BodyText"/>
        <w:spacing w:line="288" w:lineRule="auto" w:before="42"/>
        <w:ind w:left="148" w:right="133"/>
        <w:jc w:val="both"/>
      </w:pPr>
      <w:r>
        <w:rPr/>
        <w:br w:type="column"/>
      </w:r>
      <w:r>
        <w:rPr/>
        <w:t>La factura cambiaria es el título de crédito que en la compraventa de mercaderías, el vendedor podrá librar y entregar o remitir al comprador ya que incorpora un derecho de crédito sobre la totalidad o la parte insoluta de la compraventa.</w:t>
      </w:r>
    </w:p>
    <w:p>
      <w:pPr>
        <w:spacing w:after="0" w:line="288" w:lineRule="auto"/>
        <w:jc w:val="both"/>
        <w:sectPr>
          <w:type w:val="continuous"/>
          <w:pgSz w:w="12240" w:h="15840"/>
          <w:pgMar w:top="1500" w:bottom="520" w:left="420" w:right="340"/>
          <w:cols w:num="2" w:equalWidth="0">
            <w:col w:w="1530" w:space="1266"/>
            <w:col w:w="8684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562.65pt;height:.5pt;mso-position-horizontal-relative:char;mso-position-vertical-relative:line" coordorigin="0,0" coordsize="11253,10">
            <v:line style="position:absolute" from="0,5" to="602,5" stroked="true" strokeweight=".48001pt" strokecolor="#7f7f7f">
              <v:stroke dashstyle="solid"/>
            </v:line>
            <v:line style="position:absolute" from="602,5" to="1746,5" stroked="true" strokeweight=".48001pt" strokecolor="#7f7f7f">
              <v:stroke dashstyle="solid"/>
            </v:line>
            <v:line style="position:absolute" from="1746,5" to="2890,5" stroked="true" strokeweight=".48001pt" strokecolor="#7f7f7f">
              <v:stroke dashstyle="solid"/>
            </v:line>
            <v:line style="position:absolute" from="2890,5" to="4033,5" stroked="true" strokeweight=".48001pt" strokecolor="#7f7f7f">
              <v:stroke dashstyle="solid"/>
            </v:line>
            <v:line style="position:absolute" from="4033,5" to="5177,5" stroked="true" strokeweight=".48001pt" strokecolor="#7f7f7f">
              <v:stroke dashstyle="solid"/>
            </v:line>
            <v:line style="position:absolute" from="5177,5" to="6320,5" stroked="true" strokeweight=".48001pt" strokecolor="#7f7f7f">
              <v:stroke dashstyle="solid"/>
            </v:line>
            <v:line style="position:absolute" from="6320,5" to="7464,5" stroked="true" strokeweight=".48pt" strokecolor="#7f7f7f">
              <v:stroke dashstyle="solid"/>
            </v:line>
            <v:line style="position:absolute" from="7464,5" to="8608,5" stroked="true" strokeweight=".48001pt" strokecolor="#7f7f7f">
              <v:stroke dashstyle="solid"/>
            </v:line>
            <v:line style="position:absolute" from="8608,5" to="9751,5" stroked="true" strokeweight=".48001pt" strokecolor="#7f7f7f">
              <v:stroke dashstyle="solid"/>
            </v:line>
            <v:line style="position:absolute" from="9751,5" to="10895,5" stroked="true" strokeweight=".48001pt" strokecolor="#7f7f7f">
              <v:stroke dashstyle="solid"/>
            </v:line>
            <v:line style="position:absolute" from="10895,5" to="11252,5" stroked="true" strokeweight=".48001pt" strokecolor="#7f7f7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1"/>
        <w:ind w:left="2942"/>
      </w:pPr>
      <w:r>
        <w:rPr/>
        <w:t>Documento dentro del sistema SICOIN WEB en el cual se enlaza electrónicamente</w:t>
      </w:r>
    </w:p>
    <w:p>
      <w:pPr>
        <w:spacing w:after="0"/>
        <w:sectPr>
          <w:type w:val="continuous"/>
          <w:pgSz w:w="12240" w:h="15840"/>
          <w:pgMar w:top="1500" w:bottom="520" w:left="420" w:right="340"/>
        </w:sectPr>
      </w:pPr>
    </w:p>
    <w:p>
      <w:pPr>
        <w:pStyle w:val="BodyText"/>
        <w:spacing w:before="50"/>
        <w:ind w:left="2944"/>
      </w:pPr>
      <w:r>
        <w:rPr/>
        <w:t>un bien, mediante</w:t>
      </w:r>
      <w:r>
        <w:rPr>
          <w:spacing w:val="55"/>
        </w:rPr>
        <w:t> </w:t>
      </w:r>
      <w:r>
        <w:rPr>
          <w:spacing w:val="-6"/>
        </w:rPr>
        <w:t>su</w:t>
      </w:r>
    </w:p>
    <w:p>
      <w:pPr>
        <w:pStyle w:val="BodyText"/>
        <w:spacing w:before="50"/>
        <w:ind w:left="123"/>
      </w:pPr>
      <w:r>
        <w:rPr/>
        <w:br w:type="column"/>
      </w:r>
      <w:r>
        <w:rPr/>
        <w:t>código </w:t>
      </w:r>
      <w:r>
        <w:rPr>
          <w:spacing w:val="-10"/>
        </w:rPr>
        <w:t>al</w:t>
      </w:r>
    </w:p>
    <w:p>
      <w:pPr>
        <w:pStyle w:val="BodyText"/>
        <w:spacing w:before="50"/>
        <w:ind w:left="132"/>
      </w:pPr>
      <w:r>
        <w:rPr/>
        <w:br w:type="column"/>
      </w:r>
      <w:r>
        <w:rPr>
          <w:w w:val="95"/>
        </w:rPr>
        <w:t>número</w:t>
      </w:r>
    </w:p>
    <w:p>
      <w:pPr>
        <w:pStyle w:val="BodyText"/>
        <w:spacing w:before="50"/>
        <w:ind w:left="129"/>
      </w:pPr>
      <w:r>
        <w:rPr/>
        <w:br w:type="column"/>
      </w:r>
      <w:r>
        <w:rPr>
          <w:b/>
        </w:rPr>
        <w:t>d</w:t>
      </w:r>
      <w:r>
        <w:rPr/>
        <w:t>e identificación tributaria (NIT)</w:t>
      </w:r>
    </w:p>
    <w:p>
      <w:pPr>
        <w:spacing w:before="50"/>
        <w:ind w:left="11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del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00" w:bottom="520" w:left="420" w:right="340"/>
          <w:cols w:num="5" w:equalWidth="0">
            <w:col w:w="5295" w:space="40"/>
            <w:col w:w="1107" w:space="39"/>
            <w:col w:w="878" w:space="39"/>
            <w:col w:w="3500" w:space="40"/>
            <w:col w:w="542"/>
          </w:cols>
        </w:sectPr>
      </w:pPr>
    </w:p>
    <w:p>
      <w:pPr>
        <w:tabs>
          <w:tab w:pos="2944" w:val="left" w:leader="none"/>
        </w:tabs>
        <w:spacing w:before="52"/>
        <w:ind w:left="148" w:right="0" w:firstLine="0"/>
        <w:jc w:val="left"/>
        <w:rPr>
          <w:sz w:val="22"/>
        </w:rPr>
      </w:pPr>
      <w:r>
        <w:rPr>
          <w:b/>
          <w:sz w:val="22"/>
        </w:rPr>
        <w:t>4.- Resguardo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Bienes</w:t>
        <w:tab/>
      </w:r>
      <w:r>
        <w:rPr>
          <w:sz w:val="22"/>
        </w:rPr>
        <w:t>responsable</w:t>
      </w:r>
      <w:r>
        <w:rPr>
          <w:spacing w:val="17"/>
          <w:sz w:val="22"/>
        </w:rPr>
        <w:t> </w:t>
      </w:r>
      <w:r>
        <w:rPr>
          <w:sz w:val="22"/>
        </w:rPr>
        <w:t>para</w:t>
      </w:r>
      <w:r>
        <w:rPr>
          <w:spacing w:val="19"/>
          <w:sz w:val="22"/>
        </w:rPr>
        <w:t> </w:t>
      </w:r>
      <w:r>
        <w:rPr>
          <w:sz w:val="22"/>
        </w:rPr>
        <w:t>ir</w:t>
      </w:r>
      <w:r>
        <w:rPr>
          <w:spacing w:val="17"/>
          <w:sz w:val="22"/>
        </w:rPr>
        <w:t> </w:t>
      </w:r>
      <w:r>
        <w:rPr>
          <w:sz w:val="22"/>
        </w:rPr>
        <w:t>creando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resguardo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bienes</w:t>
      </w:r>
      <w:r>
        <w:rPr>
          <w:spacing w:val="19"/>
          <w:sz w:val="22"/>
        </w:rPr>
        <w:t> </w:t>
      </w: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tarjeta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responsabilidad</w:t>
      </w:r>
    </w:p>
    <w:p>
      <w:pPr>
        <w:pStyle w:val="BodyText"/>
        <w:spacing w:before="50"/>
        <w:ind w:left="2944"/>
      </w:pPr>
      <w:r>
        <w:rPr/>
        <w:t>electrónica.  En este se detalla la lista de bienes que están bajo la responsabilidad</w:t>
      </w:r>
      <w:r>
        <w:rPr>
          <w:spacing w:val="-29"/>
        </w:rPr>
        <w:t> </w:t>
      </w:r>
      <w:r>
        <w:rPr/>
        <w:t>del</w:t>
      </w:r>
    </w:p>
    <w:p>
      <w:pPr>
        <w:pStyle w:val="BodyText"/>
        <w:spacing w:before="50"/>
        <w:ind w:left="2928" w:right="2690"/>
        <w:jc w:val="center"/>
      </w:pPr>
      <w:r>
        <w:rPr/>
        <w:t>servidor público de una determinad</w:t>
      </w:r>
      <w:r>
        <w:rPr>
          <w:b/>
        </w:rPr>
        <w:t>a </w:t>
      </w:r>
      <w:r>
        <w:rPr/>
        <w:t>Unidad Administrativa.</w:t>
      </w:r>
    </w:p>
    <w:p>
      <w:pPr>
        <w:pStyle w:val="BodyText"/>
        <w:spacing w:before="7"/>
        <w:rPr>
          <w:sz w:val="11"/>
        </w:rPr>
      </w:pPr>
      <w:r>
        <w:rPr/>
        <w:pict>
          <v:group style="position:absolute;margin-left:27.059999pt;margin-top:8.675366pt;width:562.65pt;height:.5pt;mso-position-horizontal-relative:page;mso-position-vertical-relative:paragraph;z-index:-251648000;mso-wrap-distance-left:0;mso-wrap-distance-right:0" coordorigin="541,174" coordsize="11253,10">
            <v:line style="position:absolute" from="541,178" to="1144,178" stroked="true" strokeweight=".48001pt" strokecolor="#7f7f7f">
              <v:stroke dashstyle="solid"/>
            </v:line>
            <v:line style="position:absolute" from="1144,178" to="2287,178" stroked="true" strokeweight=".48001pt" strokecolor="#7f7f7f">
              <v:stroke dashstyle="solid"/>
            </v:line>
            <v:line style="position:absolute" from="2287,178" to="3431,178" stroked="true" strokeweight=".48001pt" strokecolor="#7f7f7f">
              <v:stroke dashstyle="solid"/>
            </v:line>
            <v:line style="position:absolute" from="3431,178" to="4574,178" stroked="true" strokeweight=".48001pt" strokecolor="#7f7f7f">
              <v:stroke dashstyle="solid"/>
            </v:line>
            <v:line style="position:absolute" from="4574,178" to="5718,178" stroked="true" strokeweight=".48001pt" strokecolor="#7f7f7f">
              <v:stroke dashstyle="solid"/>
            </v:line>
            <v:line style="position:absolute" from="5718,178" to="6862,178" stroked="true" strokeweight=".48001pt" strokecolor="#7f7f7f">
              <v:stroke dashstyle="solid"/>
            </v:line>
            <v:line style="position:absolute" from="6862,178" to="8005,178" stroked="true" strokeweight=".48pt" strokecolor="#7f7f7f">
              <v:stroke dashstyle="solid"/>
            </v:line>
            <v:line style="position:absolute" from="8005,178" to="9149,178" stroked="true" strokeweight=".48001pt" strokecolor="#7f7f7f">
              <v:stroke dashstyle="solid"/>
            </v:line>
            <v:line style="position:absolute" from="9149,178" to="10292,178" stroked="true" strokeweight=".48001pt" strokecolor="#7f7f7f">
              <v:stroke dashstyle="solid"/>
            </v:line>
            <v:line style="position:absolute" from="10292,178" to="11436,178" stroked="true" strokeweight=".48001pt" strokecolor="#7f7f7f">
              <v:stroke dashstyle="solid"/>
            </v:line>
            <v:line style="position:absolute" from="11436,178" to="11794,178" stroked="true" strokeweight=".48001pt" strokecolor="#7f7f7f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500" w:bottom="520" w:left="420" w:right="340"/>
        </w:sectPr>
      </w:pPr>
    </w:p>
    <w:p>
      <w:pPr>
        <w:pStyle w:val="BodyText"/>
        <w:spacing w:before="23"/>
        <w:jc w:val="right"/>
      </w:pPr>
      <w:r>
        <w:rPr/>
        <w:t>Sistema</w:t>
      </w:r>
      <w:r>
        <w:rPr>
          <w:spacing w:val="60"/>
        </w:rPr>
        <w:t> </w:t>
      </w:r>
      <w:r>
        <w:rPr/>
        <w:t>de</w:t>
      </w:r>
    </w:p>
    <w:p>
      <w:pPr>
        <w:pStyle w:val="BodyText"/>
        <w:spacing w:before="23"/>
        <w:ind w:left="83"/>
      </w:pPr>
      <w:r>
        <w:rPr/>
        <w:br w:type="column"/>
      </w:r>
      <w:r>
        <w:rPr/>
        <w:t>Contabilidad Integrada, de acceso por internet, en el</w:t>
      </w:r>
    </w:p>
    <w:p>
      <w:pPr>
        <w:pStyle w:val="BodyText"/>
        <w:spacing w:before="23"/>
        <w:ind w:left="85"/>
      </w:pPr>
      <w:r>
        <w:rPr/>
        <w:br w:type="column"/>
      </w:r>
      <w:r>
        <w:rPr/>
        <w:t>cual, para</w:t>
      </w:r>
    </w:p>
    <w:p>
      <w:pPr>
        <w:spacing w:before="23"/>
        <w:ind w:left="7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los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00" w:bottom="520" w:left="420" w:right="340"/>
          <w:cols w:num="4" w:equalWidth="0">
            <w:col w:w="4107" w:space="40"/>
            <w:col w:w="5650" w:space="39"/>
            <w:col w:w="1117" w:space="40"/>
            <w:col w:w="487"/>
          </w:cols>
        </w:sectPr>
      </w:pPr>
    </w:p>
    <w:p>
      <w:pPr>
        <w:pStyle w:val="Heading1"/>
        <w:spacing w:before="52"/>
        <w:ind w:left="148"/>
      </w:pPr>
      <w:r>
        <w:rPr/>
        <w:t>5.- SICOIN</w:t>
      </w:r>
      <w:r>
        <w:rPr>
          <w:spacing w:val="52"/>
        </w:rPr>
        <w:t> </w:t>
      </w:r>
      <w:r>
        <w:rPr/>
        <w:t>WEB</w:t>
      </w:r>
    </w:p>
    <w:p>
      <w:pPr>
        <w:pStyle w:val="BodyText"/>
        <w:spacing w:line="288" w:lineRule="auto" w:before="51"/>
        <w:ind w:left="148" w:right="-7" w:firstLine="2"/>
      </w:pPr>
      <w:r>
        <w:rPr/>
        <w:br w:type="column"/>
      </w:r>
      <w:r>
        <w:rPr/>
        <w:t>efectos del Estado.</w:t>
      </w:r>
    </w:p>
    <w:p>
      <w:pPr>
        <w:pStyle w:val="BodyText"/>
        <w:spacing w:before="51"/>
        <w:ind w:left="148"/>
      </w:pPr>
      <w:r>
        <w:rPr/>
        <w:br w:type="column"/>
      </w:r>
      <w:r>
        <w:rPr/>
        <w:t>resente documento, se registra el inventario de activos fijos (bienes) del</w:t>
      </w:r>
    </w:p>
    <w:p>
      <w:pPr>
        <w:spacing w:after="0"/>
        <w:sectPr>
          <w:type w:val="continuous"/>
          <w:pgSz w:w="12240" w:h="15840"/>
          <w:pgMar w:top="1500" w:bottom="520" w:left="420" w:right="340"/>
          <w:cols w:num="3" w:equalWidth="0">
            <w:col w:w="1894" w:space="899"/>
            <w:col w:w="1228" w:space="46"/>
            <w:col w:w="7413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562.65pt;height:.5pt;mso-position-horizontal-relative:char;mso-position-vertical-relative:line" coordorigin="0,0" coordsize="11253,10">
            <v:line style="position:absolute" from="0,5" to="602,5" stroked="true" strokeweight=".48pt" strokecolor="#7f7f7f">
              <v:stroke dashstyle="solid"/>
            </v:line>
            <v:line style="position:absolute" from="602,5" to="1746,5" stroked="true" strokeweight=".48pt" strokecolor="#7f7f7f">
              <v:stroke dashstyle="solid"/>
            </v:line>
            <v:line style="position:absolute" from="1746,5" to="2890,5" stroked="true" strokeweight=".48pt" strokecolor="#7f7f7f">
              <v:stroke dashstyle="solid"/>
            </v:line>
            <v:line style="position:absolute" from="2890,5" to="4033,5" stroked="true" strokeweight=".48pt" strokecolor="#7f7f7f">
              <v:stroke dashstyle="solid"/>
            </v:line>
            <v:line style="position:absolute" from="4033,5" to="5177,5" stroked="true" strokeweight=".48pt" strokecolor="#7f7f7f">
              <v:stroke dashstyle="solid"/>
            </v:line>
            <v:line style="position:absolute" from="5177,5" to="6320,5" stroked="true" strokeweight=".48pt" strokecolor="#7f7f7f">
              <v:stroke dashstyle="solid"/>
            </v:line>
            <v:line style="position:absolute" from="6320,5" to="7464,5" stroked="true" strokeweight=".48pt" strokecolor="#7f7f7f">
              <v:stroke dashstyle="solid"/>
            </v:line>
            <v:line style="position:absolute" from="7464,5" to="8608,5" stroked="true" strokeweight=".48pt" strokecolor="#7f7f7f">
              <v:stroke dashstyle="solid"/>
            </v:line>
            <v:line style="position:absolute" from="8608,5" to="9751,5" stroked="true" strokeweight=".48pt" strokecolor="#7f7f7f">
              <v:stroke dashstyle="solid"/>
            </v:line>
            <v:line style="position:absolute" from="9751,5" to="10895,5" stroked="true" strokeweight=".48pt" strokecolor="#7f7f7f">
              <v:stroke dashstyle="solid"/>
            </v:line>
            <v:line style="position:absolute" from="10895,5" to="11252,5" stroked="true" strokeweight=".48pt" strokecolor="#7f7f7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500" w:bottom="520" w:left="420" w:right="340"/>
        </w:sectPr>
      </w:pPr>
    </w:p>
    <w:p>
      <w:pPr>
        <w:pStyle w:val="Heading1"/>
        <w:spacing w:before="43"/>
      </w:pPr>
      <w:r>
        <w:rPr/>
        <w:t>Tarjeta de</w:t>
      </w:r>
    </w:p>
    <w:p>
      <w:pPr>
        <w:spacing w:line="288" w:lineRule="auto" w:before="51"/>
        <w:ind w:left="460" w:right="14" w:hanging="312"/>
        <w:jc w:val="left"/>
        <w:rPr>
          <w:b/>
          <w:sz w:val="22"/>
        </w:rPr>
      </w:pPr>
      <w:r>
        <w:rPr>
          <w:b/>
          <w:sz w:val="22"/>
        </w:rPr>
        <w:t>6.- responsabilidad de Bienes Fungibles</w:t>
      </w:r>
    </w:p>
    <w:p>
      <w:pPr>
        <w:pStyle w:val="BodyText"/>
        <w:spacing w:line="288" w:lineRule="auto" w:before="42"/>
        <w:ind w:left="148" w:right="133"/>
        <w:jc w:val="both"/>
      </w:pPr>
      <w:r>
        <w:rPr/>
        <w:br w:type="column"/>
      </w:r>
      <w:r>
        <w:rPr/>
        <w:t>Consiste en un documento físico </w:t>
      </w:r>
      <w:r>
        <w:rPr>
          <w:spacing w:val="3"/>
        </w:rPr>
        <w:t>en </w:t>
      </w:r>
      <w:r>
        <w:rPr/>
        <w:t>el cual </w:t>
      </w:r>
      <w:r>
        <w:rPr>
          <w:spacing w:val="2"/>
        </w:rPr>
        <w:t>se </w:t>
      </w:r>
      <w:r>
        <w:rPr/>
        <w:t>detalla la lista de bienes que están bajo la responsabilidad del servidor público de una determinada Unidad Administrativa, Se utiliza únicamente para los bienes fungibles</w:t>
      </w:r>
    </w:p>
    <w:p>
      <w:pPr>
        <w:spacing w:after="0" w:line="288" w:lineRule="auto"/>
        <w:jc w:val="both"/>
        <w:sectPr>
          <w:type w:val="continuous"/>
          <w:pgSz w:w="12240" w:h="15840"/>
          <w:pgMar w:top="1500" w:bottom="520" w:left="420" w:right="340"/>
          <w:cols w:num="2" w:equalWidth="0">
            <w:col w:w="2505" w:space="288"/>
            <w:col w:w="868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style="width:563.35pt;height:.5pt;mso-position-horizontal-relative:char;mso-position-vertical-relative:line" coordorigin="0,0" coordsize="11267,10">
            <v:line style="position:absolute" from="0,5" to="328,5" stroked="true" strokeweight=".48pt" strokecolor="#7f7f7f">
              <v:stroke dashstyle="solid"/>
            </v:line>
            <v:line style="position:absolute" from="313,5" to="617,5" stroked="true" strokeweight=".48pt" strokecolor="#7f7f7f">
              <v:stroke dashstyle="solid"/>
            </v:line>
            <v:line style="position:absolute" from="617,5" to="1760,5" stroked="true" strokeweight=".48pt" strokecolor="#7f7f7f">
              <v:stroke dashstyle="solid"/>
            </v:line>
            <v:line style="position:absolute" from="1760,5" to="2810,5" stroked="true" strokeweight=".48pt" strokecolor="#7f7f7f">
              <v:stroke dashstyle="solid"/>
            </v:line>
            <v:rect style="position:absolute;left:2796;top:0;width:108;height:10" filled="true" fillcolor="#7f7f7f" stroked="false">
              <v:fill type="solid"/>
            </v:rect>
            <v:line style="position:absolute" from="2904,5" to="4048,5" stroked="true" strokeweight=".48pt" strokecolor="#7f7f7f">
              <v:stroke dashstyle="solid"/>
            </v:line>
            <v:line style="position:absolute" from="4048,5" to="5191,5" stroked="true" strokeweight=".48pt" strokecolor="#7f7f7f">
              <v:stroke dashstyle="solid"/>
            </v:line>
            <v:line style="position:absolute" from="5191,5" to="6335,5" stroked="true" strokeweight=".48pt" strokecolor="#7f7f7f">
              <v:stroke dashstyle="solid"/>
            </v:line>
            <v:line style="position:absolute" from="6335,5" to="7478,5" stroked="true" strokeweight=".48pt" strokecolor="#7f7f7f">
              <v:stroke dashstyle="solid"/>
            </v:line>
            <v:line style="position:absolute" from="7478,5" to="8622,5" stroked="true" strokeweight=".48pt" strokecolor="#7f7f7f">
              <v:stroke dashstyle="solid"/>
            </v:line>
            <v:line style="position:absolute" from="8622,5" to="9766,5" stroked="true" strokeweight=".48pt" strokecolor="#7f7f7f">
              <v:stroke dashstyle="solid"/>
            </v:line>
            <v:line style="position:absolute" from="9766,5" to="10909,5" stroked="true" strokeweight=".48pt" strokecolor="#7f7f7f">
              <v:stroke dashstyle="solid"/>
            </v:line>
            <v:line style="position:absolute" from="10909,5" to="11267,5" stroked="true" strokeweight=".48pt" strokecolor="#7f7f7f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500" w:bottom="520" w:left="420" w:right="3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4526"/>
        <w:gridCol w:w="2421"/>
        <w:gridCol w:w="1559"/>
        <w:gridCol w:w="1833"/>
      </w:tblGrid>
      <w:tr>
        <w:trPr>
          <w:trHeight w:val="562" w:hRule="atLeast"/>
        </w:trPr>
        <w:tc>
          <w:tcPr>
            <w:tcW w:w="860" w:type="dxa"/>
            <w:vMerge w:val="restart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37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7686" cy="420052"/>
                  <wp:effectExtent l="0" t="0" r="0" b="0"/>
                  <wp:docPr id="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86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39" w:type="dxa"/>
            <w:gridSpan w:val="4"/>
          </w:tcPr>
          <w:p>
            <w:pPr>
              <w:pStyle w:val="TableParagraph"/>
              <w:spacing w:before="55"/>
              <w:ind w:left="3725" w:right="3720"/>
              <w:jc w:val="center"/>
              <w:rPr>
                <w:sz w:val="16"/>
              </w:rPr>
            </w:pPr>
            <w:r>
              <w:rPr>
                <w:sz w:val="16"/>
              </w:rPr>
              <w:t>PRO C EDIMI EN TO </w:t>
            </w:r>
          </w:p>
          <w:p>
            <w:pPr>
              <w:pStyle w:val="TableParagraph"/>
              <w:spacing w:line="276" w:lineRule="exact" w:before="27"/>
              <w:ind w:left="3728" w:right="3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INVENTARIO DE BIENES</w:t>
            </w:r>
          </w:p>
        </w:tc>
      </w:tr>
      <w:tr>
        <w:trPr>
          <w:trHeight w:val="213" w:hRule="atLeast"/>
        </w:trPr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>
            <w:pPr>
              <w:pStyle w:val="TableParagraph"/>
              <w:spacing w:line="183" w:lineRule="exact"/>
              <w:ind w:left="1440"/>
              <w:rPr>
                <w:sz w:val="16"/>
              </w:rPr>
            </w:pPr>
            <w:r>
              <w:rPr>
                <w:sz w:val="16"/>
              </w:rPr>
              <w:t>Del proceso: Inventario</w:t>
            </w:r>
          </w:p>
        </w:tc>
        <w:tc>
          <w:tcPr>
            <w:tcW w:w="2421" w:type="dxa"/>
          </w:tcPr>
          <w:p>
            <w:pPr>
              <w:pStyle w:val="TableParagraph"/>
              <w:spacing w:line="183" w:lineRule="exact"/>
              <w:ind w:left="479"/>
              <w:rPr>
                <w:b/>
                <w:sz w:val="16"/>
              </w:rPr>
            </w:pPr>
            <w:r>
              <w:rPr>
                <w:sz w:val="16"/>
              </w:rPr>
              <w:t>Código </w:t>
            </w:r>
            <w:r>
              <w:rPr>
                <w:b/>
                <w:sz w:val="16"/>
              </w:rPr>
              <w:t>INV-PRO-01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33" w:type="dxa"/>
          </w:tcPr>
          <w:p>
            <w:pPr>
              <w:pStyle w:val="TableParagraph"/>
              <w:spacing w:line="183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4 de 4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74" w:val="left" w:leader="none"/>
          <w:tab w:pos="575" w:val="left" w:leader="none"/>
        </w:tabs>
        <w:spacing w:line="240" w:lineRule="auto" w:before="93" w:after="0"/>
        <w:ind w:left="574" w:right="0" w:hanging="427"/>
        <w:jc w:val="left"/>
      </w:pPr>
      <w:r>
        <w:rPr>
          <w:u w:val="thick"/>
        </w:rPr>
        <w:t>NARRATIVA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3"/>
        <w:ind w:left="148" w:right="134"/>
      </w:pPr>
      <w:r>
        <w:rPr/>
        <w:t>Dependiendo de la actividad a realizarse, debe identificarse el instructivo correspondiente para poder llevar a cabo los pasos que indican en el mismo. Los documentos relacionad</w:t>
      </w:r>
      <w:r>
        <w:rPr>
          <w:b/>
        </w:rPr>
        <w:t>o</w:t>
      </w:r>
      <w:r>
        <w:rPr/>
        <w:t>s a este procedimiento son los siguientes: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  <w:tab w:pos="2271" w:val="left" w:leader="none"/>
        </w:tabs>
        <w:spacing w:line="269" w:lineRule="exact" w:before="100" w:after="0"/>
        <w:ind w:left="859" w:right="0" w:hanging="286"/>
        <w:jc w:val="left"/>
        <w:rPr>
          <w:sz w:val="22"/>
        </w:rPr>
      </w:pPr>
      <w:r>
        <w:rPr>
          <w:sz w:val="22"/>
        </w:rPr>
        <w:t>INV-INS-01</w:t>
        <w:tab/>
        <w:t>“Alzas de bienes</w:t>
      </w:r>
      <w:r>
        <w:rPr>
          <w:spacing w:val="-1"/>
          <w:sz w:val="22"/>
        </w:rPr>
        <w:t> </w:t>
      </w:r>
      <w:r>
        <w:rPr>
          <w:sz w:val="22"/>
        </w:rPr>
        <w:t>muebles”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2271" w:val="left" w:leader="none"/>
        </w:tabs>
        <w:spacing w:line="268" w:lineRule="exact" w:before="0" w:after="0"/>
        <w:ind w:left="859" w:right="0" w:hanging="286"/>
        <w:jc w:val="left"/>
        <w:rPr>
          <w:sz w:val="22"/>
        </w:rPr>
      </w:pPr>
      <w:r>
        <w:rPr>
          <w:sz w:val="22"/>
        </w:rPr>
        <w:t>INV-INS-02</w:t>
        <w:tab/>
        <w:t>“Asignación de bienes</w:t>
      </w:r>
      <w:r>
        <w:rPr>
          <w:spacing w:val="-2"/>
          <w:sz w:val="22"/>
        </w:rPr>
        <w:t> </w:t>
      </w:r>
      <w:r>
        <w:rPr>
          <w:sz w:val="22"/>
        </w:rPr>
        <w:t>muebles”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2271" w:val="left" w:leader="none"/>
        </w:tabs>
        <w:spacing w:line="268" w:lineRule="exact" w:before="0" w:after="0"/>
        <w:ind w:left="859" w:right="0" w:hanging="286"/>
        <w:jc w:val="left"/>
        <w:rPr>
          <w:sz w:val="22"/>
        </w:rPr>
      </w:pPr>
      <w:r>
        <w:rPr>
          <w:sz w:val="22"/>
        </w:rPr>
        <w:t>INV-INS-03</w:t>
        <w:tab/>
        <w:t>“Bajas de bienes</w:t>
      </w:r>
      <w:r>
        <w:rPr>
          <w:spacing w:val="-3"/>
          <w:sz w:val="22"/>
        </w:rPr>
        <w:t> </w:t>
      </w:r>
      <w:r>
        <w:rPr>
          <w:sz w:val="22"/>
        </w:rPr>
        <w:t>muebles”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2287" w:val="left" w:leader="none"/>
        </w:tabs>
        <w:spacing w:line="268" w:lineRule="exact" w:before="0" w:after="0"/>
        <w:ind w:left="859" w:right="0" w:hanging="286"/>
        <w:jc w:val="left"/>
        <w:rPr>
          <w:sz w:val="22"/>
        </w:rPr>
      </w:pPr>
      <w:r>
        <w:rPr>
          <w:sz w:val="22"/>
        </w:rPr>
        <w:t>INV-INS-04</w:t>
        <w:tab/>
        <w:t>“Administración de</w:t>
      </w:r>
      <w:r>
        <w:rPr>
          <w:spacing w:val="-2"/>
          <w:sz w:val="22"/>
        </w:rPr>
        <w:t> </w:t>
      </w:r>
      <w:r>
        <w:rPr>
          <w:sz w:val="22"/>
        </w:rPr>
        <w:t>Inventario”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2271" w:val="left" w:leader="none"/>
        </w:tabs>
        <w:spacing w:line="269" w:lineRule="exact" w:before="0" w:after="0"/>
        <w:ind w:left="859" w:right="0" w:hanging="286"/>
        <w:jc w:val="left"/>
        <w:rPr>
          <w:sz w:val="22"/>
        </w:rPr>
      </w:pPr>
      <w:r>
        <w:rPr/>
        <w:pict>
          <v:shape style="position:absolute;margin-left:111.300003pt;margin-top:28.146021pt;width:4.9pt;height:8.950pt;mso-position-horizontal-relative:page;mso-position-vertical-relative:paragraph;z-index:-25218560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99"/>
                      <w:sz w:val="1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INV-INS-05</w:t>
        <w:tab/>
        <w:t>“Bienes</w:t>
      </w:r>
      <w:r>
        <w:rPr>
          <w:spacing w:val="-3"/>
          <w:sz w:val="22"/>
        </w:rPr>
        <w:t> </w:t>
      </w:r>
      <w:r>
        <w:rPr>
          <w:sz w:val="22"/>
        </w:rPr>
        <w:t>Fungibles”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8085"/>
      </w:tblGrid>
      <w:tr>
        <w:trPr>
          <w:trHeight w:val="258" w:hRule="atLeast"/>
        </w:trPr>
        <w:tc>
          <w:tcPr>
            <w:tcW w:w="1730" w:type="dxa"/>
            <w:shd w:val="clear" w:color="auto" w:fill="D9D9D9"/>
          </w:tcPr>
          <w:p>
            <w:pPr>
              <w:pStyle w:val="TableParagraph"/>
              <w:spacing w:before="26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INSTRUC IVO</w:t>
            </w:r>
          </w:p>
        </w:tc>
        <w:tc>
          <w:tcPr>
            <w:tcW w:w="8085" w:type="dxa"/>
            <w:shd w:val="clear" w:color="auto" w:fill="D9D9D9"/>
          </w:tcPr>
          <w:p>
            <w:pPr>
              <w:pStyle w:val="TableParagraph"/>
              <w:spacing w:before="26"/>
              <w:ind w:left="2853" w:right="28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574" w:hRule="atLeast"/>
        </w:trPr>
        <w:tc>
          <w:tcPr>
            <w:tcW w:w="17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 INV-INS-01</w:t>
            </w:r>
          </w:p>
        </w:tc>
        <w:tc>
          <w:tcPr>
            <w:tcW w:w="8085" w:type="dxa"/>
          </w:tcPr>
          <w:p>
            <w:pPr>
              <w:pStyle w:val="TableParagraph"/>
              <w:spacing w:before="26"/>
              <w:ind w:left="84" w:right="4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ALZA DE BIENES MUEBLES: </w:t>
            </w:r>
            <w:r>
              <w:rPr>
                <w:sz w:val="22"/>
              </w:rPr>
              <w:t>Describe las actividades que deben seguir las distintas Dependencias del Ministerio de Educación -MINEDUC- para el registro de las alzas de bienes muebles en inventario, en cada una de las modalidades existentes: por compra, por donación, por traslado entre dependencias, por reposición y por traslado a Centros Educativos Públicos por parte de otras Entidades.</w:t>
            </w:r>
          </w:p>
        </w:tc>
      </w:tr>
      <w:tr>
        <w:trPr>
          <w:trHeight w:val="1320" w:hRule="atLeast"/>
        </w:trPr>
        <w:tc>
          <w:tcPr>
            <w:tcW w:w="17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 INV-INS-02</w:t>
            </w:r>
          </w:p>
        </w:tc>
        <w:tc>
          <w:tcPr>
            <w:tcW w:w="8085" w:type="dxa"/>
          </w:tcPr>
          <w:p>
            <w:pPr>
              <w:pStyle w:val="TableParagraph"/>
              <w:spacing w:before="25"/>
              <w:ind w:left="84" w:right="4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ASIGNACION DE BIENES MUEBLES: </w:t>
            </w:r>
            <w:r>
              <w:rPr>
                <w:sz w:val="22"/>
              </w:rPr>
              <w:t>Describe las actividades que deben seguir las distintas Dependencias del Ministerio </w:t>
            </w:r>
            <w:r>
              <w:rPr>
                <w:spacing w:val="2"/>
                <w:sz w:val="22"/>
              </w:rPr>
              <w:t>d</w:t>
            </w:r>
            <w:r>
              <w:rPr>
                <w:b/>
                <w:spacing w:val="2"/>
                <w:sz w:val="22"/>
              </w:rPr>
              <w:t>e </w:t>
            </w:r>
            <w:r>
              <w:rPr>
                <w:sz w:val="22"/>
              </w:rPr>
              <w:t>Educación -MINEDUC- para la asignación de bienes en as distintas opciones que se puedan presentar: toma de posesión, cambio de responsable, entrega de puesto o bienes que estén en desuso y que todavía estén en buen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estado.</w:t>
            </w:r>
          </w:p>
        </w:tc>
      </w:tr>
      <w:tr>
        <w:trPr>
          <w:trHeight w:val="1573" w:hRule="atLeast"/>
        </w:trPr>
        <w:tc>
          <w:tcPr>
            <w:tcW w:w="17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 INV-INS-03</w:t>
            </w:r>
          </w:p>
        </w:tc>
        <w:tc>
          <w:tcPr>
            <w:tcW w:w="8085" w:type="dxa"/>
          </w:tcPr>
          <w:p>
            <w:pPr>
              <w:pStyle w:val="TableParagraph"/>
              <w:spacing w:before="25"/>
              <w:ind w:left="84" w:right="4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BAJAS DE BIENES MUEBLES: </w:t>
            </w:r>
            <w:r>
              <w:rPr>
                <w:sz w:val="22"/>
              </w:rPr>
              <w:t>Describe las actividades que deben seguir las distintas Dependencias del Ministerio de Educación -MINEDUC- para dar de baja algún bien en cada una de las modalidades existentes: por destrucción o incineración, pérdida, faltante, extravío, hurto o robo, destrucción por fenómenos naturales, siniestros y/o accidentes, por traslado entre Dependencias, por duplicidad de registros y baja de bienes de Centros Educativos Públicos.</w:t>
            </w:r>
          </w:p>
        </w:tc>
      </w:tr>
      <w:tr>
        <w:trPr>
          <w:trHeight w:val="1320" w:hRule="atLeast"/>
        </w:trPr>
        <w:tc>
          <w:tcPr>
            <w:tcW w:w="17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 INV-INS-04</w:t>
            </w:r>
          </w:p>
        </w:tc>
        <w:tc>
          <w:tcPr>
            <w:tcW w:w="8085" w:type="dxa"/>
          </w:tcPr>
          <w:p>
            <w:pPr>
              <w:pStyle w:val="TableParagraph"/>
              <w:spacing w:before="25"/>
              <w:ind w:left="84" w:right="4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ADMINISTRACION DE INVENTARIOS: </w:t>
            </w:r>
            <w:r>
              <w:rPr>
                <w:sz w:val="22"/>
              </w:rPr>
              <w:t>describe las actividades que deben seguir las distintas Dependencias del Ministerio d</w:t>
            </w:r>
            <w:r>
              <w:rPr>
                <w:b/>
                <w:sz w:val="22"/>
              </w:rPr>
              <w:t>e </w:t>
            </w:r>
            <w:r>
              <w:rPr>
                <w:sz w:val="22"/>
              </w:rPr>
              <w:t>Educación -MINEDUC- para realizar el Inventario Físico de los bienes que tienen cargados bajo su responsabilidad, así como el registro y conciliaciones respectivas en el Sistema de Contabilidad Integrada SICOIN-WEB.</w:t>
            </w:r>
          </w:p>
        </w:tc>
      </w:tr>
      <w:tr>
        <w:trPr>
          <w:trHeight w:val="815" w:hRule="atLeast"/>
        </w:trPr>
        <w:tc>
          <w:tcPr>
            <w:tcW w:w="173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 INV-INS-05</w:t>
            </w:r>
          </w:p>
        </w:tc>
        <w:tc>
          <w:tcPr>
            <w:tcW w:w="8085" w:type="dxa"/>
          </w:tcPr>
          <w:p>
            <w:pPr>
              <w:pStyle w:val="TableParagraph"/>
              <w:spacing w:before="25"/>
              <w:ind w:left="84" w:right="4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BIENES FUNGIBLES: </w:t>
            </w:r>
            <w:r>
              <w:rPr>
                <w:sz w:val="22"/>
              </w:rPr>
              <w:t>Describe las actividades que deben seguir las distintas Dependencias del Ministerio de Educación -MINEDUC- para el alza, registro, asignación, inventario físico, baja, guarda y custodia de los bienes fungibles.</w:t>
            </w:r>
          </w:p>
        </w:tc>
      </w:tr>
    </w:tbl>
    <w:sectPr>
      <w:pgSz w:w="12240" w:h="15840"/>
      <w:pgMar w:header="210" w:footer="334" w:top="400" w:bottom="520" w:left="4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Baskerville Old Face">
    <w:altName w:val="Baskerville Old Face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7.879997pt;margin-top:764.323425pt;width:421.55pt;height:11.05pt;mso-position-horizontal-relative:page;mso-position-vertical-relative:page;z-index:-2521989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A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440001pt;margin-top:13.543467pt;width:34.2pt;height:7.95pt;mso-position-horizontal-relative:page;mso-position-vertical-relative:page;z-index:-2521978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PLA-PLT-06.03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59" w:hanging="285"/>
      </w:pPr>
      <w:rPr>
        <w:rFonts w:hint="default" w:ascii="Symbol" w:hAnsi="Symbol" w:eastAsia="Symbol" w:cs="Symbo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22" w:hanging="28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984" w:hanging="28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046" w:hanging="28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108" w:hanging="28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170" w:hanging="28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232" w:hanging="28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294" w:hanging="28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356" w:hanging="285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08" w:hanging="36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933" w:hanging="362"/>
        <w:jc w:val="left"/>
      </w:pPr>
      <w:rPr>
        <w:rFonts w:hint="default" w:ascii="Arial" w:hAnsi="Arial" w:eastAsia="Arial" w:cs="Arial"/>
        <w:spacing w:val="0"/>
        <w:w w:val="99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030" w:hanging="36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120" w:hanging="36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211" w:hanging="36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1301" w:hanging="36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1391" w:hanging="36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1482" w:hanging="36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572" w:hanging="362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3"/>
      <w:ind w:left="460"/>
      <w:outlineLvl w:val="1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93"/>
      <w:ind w:left="859" w:hanging="286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image" Target="media/image11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sreyres</dc:creator>
  <dc:title>Microsoft Word - Inv_PRO_01 Inventario</dc:title>
  <dcterms:created xsi:type="dcterms:W3CDTF">2020-12-14T14:41:14Z</dcterms:created>
  <dcterms:modified xsi:type="dcterms:W3CDTF">2020-12-14T14:41:14Z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2020-12-14T00:00:00Z</vt:filetime>
  </property>
</Properties>
</file>