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633F4ADD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A11945">
        <w:rPr>
          <w:rFonts w:ascii="Arial" w:hAnsi="Arial" w:cs="Arial"/>
          <w:b/>
          <w:bCs/>
          <w:iCs/>
          <w:sz w:val="28"/>
          <w:szCs w:val="22"/>
          <w:u w:val="single"/>
        </w:rPr>
        <w:t>JU</w:t>
      </w:r>
      <w:r w:rsidR="00D12855">
        <w:rPr>
          <w:rFonts w:ascii="Arial" w:hAnsi="Arial" w:cs="Arial"/>
          <w:b/>
          <w:bCs/>
          <w:iCs/>
          <w:sz w:val="28"/>
          <w:szCs w:val="22"/>
          <w:u w:val="single"/>
        </w:rPr>
        <w:t>L</w:t>
      </w:r>
      <w:r w:rsidR="00A11945">
        <w:rPr>
          <w:rFonts w:ascii="Arial" w:hAnsi="Arial" w:cs="Arial"/>
          <w:b/>
          <w:bCs/>
          <w:iCs/>
          <w:sz w:val="28"/>
          <w:szCs w:val="22"/>
          <w:u w:val="single"/>
        </w:rPr>
        <w:t>IO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10BF5539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780366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DE ESTUDIO </w:t>
            </w:r>
            <w:r w:rsidR="00FB734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PARA ESTUDIANTES DEL NIVEL PRIMARIO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57740E3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Primario Del Sector Oficial, Beneficiados Con Becas De Estudio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05CB6C22" w:rsidR="00516F42" w:rsidRPr="00516F42" w:rsidRDefault="00587E9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21,1</w:t>
            </w:r>
            <w:r w:rsidR="00DF7633">
              <w:rPr>
                <w:rFonts w:cs="Arial"/>
                <w:color w:val="000000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74971E5E" w:rsidR="00516F42" w:rsidRPr="00516F42" w:rsidRDefault="00BA352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4D15395" w:rsidR="00516F42" w:rsidRPr="00516F42" w:rsidRDefault="00FA078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20E83F8E" w:rsidR="00516F42" w:rsidRPr="00516F42" w:rsidRDefault="00587E9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21,1</w:t>
            </w:r>
            <w:r w:rsidR="00DF763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6474EDBD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1D8078DC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A11945" w:rsidRPr="00516F42" w14:paraId="5EFC896D" w14:textId="77777777" w:rsidTr="00180C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3106AFB8" w:rsidR="00A11945" w:rsidRPr="00516F42" w:rsidRDefault="00A11945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JU</w:t>
            </w:r>
            <w:r w:rsidR="00D12855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L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IO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01/0</w:t>
            </w:r>
            <w:r w:rsidR="00D12855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8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31CA" w14:textId="77777777" w:rsidR="005D732A" w:rsidRDefault="005D732A" w:rsidP="003D767C">
      <w:r>
        <w:separator/>
      </w:r>
    </w:p>
  </w:endnote>
  <w:endnote w:type="continuationSeparator" w:id="0">
    <w:p w14:paraId="3ED0FC85" w14:textId="77777777" w:rsidR="005D732A" w:rsidRDefault="005D732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2321" w14:textId="77777777" w:rsidR="005D732A" w:rsidRDefault="005D732A" w:rsidP="003D767C">
      <w:r>
        <w:separator/>
      </w:r>
    </w:p>
  </w:footnote>
  <w:footnote w:type="continuationSeparator" w:id="0">
    <w:p w14:paraId="7C023D9E" w14:textId="77777777" w:rsidR="005D732A" w:rsidRDefault="005D732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03234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87E9C"/>
    <w:rsid w:val="005913F5"/>
    <w:rsid w:val="00595470"/>
    <w:rsid w:val="005A1F97"/>
    <w:rsid w:val="005A47D6"/>
    <w:rsid w:val="005D732A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03B2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0366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386D"/>
    <w:rsid w:val="00925E84"/>
    <w:rsid w:val="00941AD3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B7DE8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11945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E3675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3671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12855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DF7633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A35EF"/>
    <w:rsid w:val="00EB0369"/>
    <w:rsid w:val="00EB7FC8"/>
    <w:rsid w:val="00EC2AE2"/>
    <w:rsid w:val="00ED7B2B"/>
    <w:rsid w:val="00EE1784"/>
    <w:rsid w:val="00EE3481"/>
    <w:rsid w:val="00EE4741"/>
    <w:rsid w:val="00EE7493"/>
    <w:rsid w:val="00EE7A3B"/>
    <w:rsid w:val="00EF29D2"/>
    <w:rsid w:val="00EF44E9"/>
    <w:rsid w:val="00EF45FC"/>
    <w:rsid w:val="00EF7897"/>
    <w:rsid w:val="00F010BC"/>
    <w:rsid w:val="00F157FE"/>
    <w:rsid w:val="00F15A7D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67F"/>
    <w:rsid w:val="00FA593C"/>
    <w:rsid w:val="00FB0688"/>
    <w:rsid w:val="00FB7347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59</cp:revision>
  <cp:lastPrinted>2025-08-01T20:22:00Z</cp:lastPrinted>
  <dcterms:created xsi:type="dcterms:W3CDTF">2024-07-03T22:42:00Z</dcterms:created>
  <dcterms:modified xsi:type="dcterms:W3CDTF">2025-08-01T20:23:00Z</dcterms:modified>
</cp:coreProperties>
</file>