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57DB" w14:textId="77777777" w:rsidR="00900A0E" w:rsidRDefault="00EB633C">
      <w:pPr>
        <w:spacing w:after="0"/>
        <w:ind w:left="264" w:right="5" w:hanging="10"/>
        <w:jc w:val="center"/>
      </w:pPr>
      <w:r>
        <w:rPr>
          <w:sz w:val="26"/>
        </w:rPr>
        <w:t>MINISTERIO DE EDUCACIÓN</w:t>
      </w:r>
    </w:p>
    <w:p w14:paraId="091A30AC" w14:textId="77777777" w:rsidR="00900A0E" w:rsidRDefault="00EB633C">
      <w:pPr>
        <w:spacing w:after="3"/>
        <w:ind w:left="423" w:hanging="10"/>
        <w:jc w:val="center"/>
      </w:pPr>
      <w:r>
        <w:rPr>
          <w:sz w:val="28"/>
        </w:rPr>
        <w:t>DIRECCIÓN DE AUDITORÍA INTERNA</w:t>
      </w:r>
    </w:p>
    <w:p w14:paraId="4CC9EE3B" w14:textId="77777777" w:rsidR="00900A0E" w:rsidRDefault="00EB633C">
      <w:pPr>
        <w:spacing w:after="0"/>
        <w:ind w:left="264" w:hanging="10"/>
        <w:jc w:val="center"/>
      </w:pPr>
      <w:r>
        <w:rPr>
          <w:sz w:val="26"/>
        </w:rPr>
        <w:t>INFORME O-DlDAISUB-242-2022</w:t>
      </w:r>
    </w:p>
    <w:p w14:paraId="79C52CAA" w14:textId="77777777" w:rsidR="00900A0E" w:rsidRDefault="00EB633C">
      <w:pPr>
        <w:pStyle w:val="Ttulo3"/>
        <w:spacing w:after="4242"/>
        <w:ind w:left="254"/>
        <w:jc w:val="center"/>
      </w:pPr>
      <w:r>
        <w:t>SIAD: 614942</w:t>
      </w:r>
    </w:p>
    <w:p w14:paraId="1C4F70CB" w14:textId="77777777" w:rsidR="00900A0E" w:rsidRDefault="00EB633C">
      <w:pPr>
        <w:spacing w:after="5721" w:line="216" w:lineRule="auto"/>
        <w:ind w:left="27" w:right="449" w:hanging="10"/>
        <w:jc w:val="center"/>
      </w:pPr>
      <w:r>
        <w:rPr>
          <w:sz w:val="30"/>
        </w:rPr>
        <w:t xml:space="preserve">Consejo o consultoría de verificación de las tarjetas </w:t>
      </w:r>
      <w:proofErr w:type="spellStart"/>
      <w:r>
        <w:rPr>
          <w:sz w:val="30"/>
        </w:rPr>
        <w:t>kardex</w:t>
      </w:r>
      <w:proofErr w:type="spellEnd"/>
      <w:r>
        <w:rPr>
          <w:sz w:val="30"/>
        </w:rPr>
        <w:t xml:space="preserve"> con el libro auxiliar de almacén, en la Dirección Departamental de Educación de Escuintla</w:t>
      </w:r>
    </w:p>
    <w:p w14:paraId="2EA6D91D" w14:textId="77777777" w:rsidR="00900A0E" w:rsidRDefault="00EB633C">
      <w:pPr>
        <w:spacing w:after="3"/>
        <w:ind w:left="423" w:right="850" w:hanging="10"/>
        <w:jc w:val="center"/>
      </w:pPr>
      <w:r>
        <w:rPr>
          <w:sz w:val="28"/>
        </w:rPr>
        <w:t>GUATEMALA, DICIEMBRE DE 2022</w:t>
      </w:r>
    </w:p>
    <w:p w14:paraId="0973240F" w14:textId="77777777" w:rsidR="00EB633C" w:rsidRDefault="00EB633C">
      <w:pPr>
        <w:spacing w:after="737" w:line="216" w:lineRule="auto"/>
        <w:ind w:left="27" w:right="1126" w:hanging="10"/>
        <w:jc w:val="center"/>
        <w:rPr>
          <w:sz w:val="30"/>
        </w:rPr>
      </w:pPr>
    </w:p>
    <w:p w14:paraId="6F2CAA48" w14:textId="77777777" w:rsidR="00EB633C" w:rsidRDefault="00EB633C">
      <w:pPr>
        <w:spacing w:after="737" w:line="216" w:lineRule="auto"/>
        <w:ind w:left="27" w:right="1126" w:hanging="10"/>
        <w:jc w:val="center"/>
        <w:rPr>
          <w:sz w:val="30"/>
        </w:rPr>
      </w:pPr>
    </w:p>
    <w:p w14:paraId="0FF77932" w14:textId="77777777" w:rsidR="00EB633C" w:rsidRDefault="00EB633C">
      <w:pPr>
        <w:spacing w:after="737" w:line="216" w:lineRule="auto"/>
        <w:ind w:left="27" w:right="1126" w:hanging="10"/>
        <w:jc w:val="center"/>
        <w:rPr>
          <w:sz w:val="30"/>
        </w:rPr>
      </w:pPr>
    </w:p>
    <w:p w14:paraId="741F61DC" w14:textId="77777777" w:rsidR="00EB633C" w:rsidRDefault="00EB633C">
      <w:pPr>
        <w:spacing w:after="737" w:line="216" w:lineRule="auto"/>
        <w:ind w:left="27" w:right="1126" w:hanging="10"/>
        <w:jc w:val="center"/>
        <w:rPr>
          <w:sz w:val="30"/>
        </w:rPr>
      </w:pPr>
    </w:p>
    <w:p w14:paraId="048FB5E5" w14:textId="77777777" w:rsidR="00EB633C" w:rsidRDefault="00EB633C">
      <w:pPr>
        <w:spacing w:after="737" w:line="216" w:lineRule="auto"/>
        <w:ind w:left="27" w:right="1126" w:hanging="10"/>
        <w:jc w:val="center"/>
        <w:rPr>
          <w:sz w:val="30"/>
        </w:rPr>
      </w:pPr>
    </w:p>
    <w:p w14:paraId="51E3FE4F" w14:textId="72FA39FE" w:rsidR="00900A0E" w:rsidRDefault="00EB633C">
      <w:pPr>
        <w:spacing w:after="737" w:line="216" w:lineRule="auto"/>
        <w:ind w:left="27" w:right="1126" w:hanging="10"/>
        <w:jc w:val="center"/>
      </w:pPr>
      <w:r>
        <w:rPr>
          <w:sz w:val="30"/>
        </w:rPr>
        <w:t>INDICE</w:t>
      </w:r>
    </w:p>
    <w:p w14:paraId="329FEF32" w14:textId="77777777" w:rsidR="00900A0E" w:rsidRDefault="00EB633C">
      <w:pPr>
        <w:pStyle w:val="Ttulo2"/>
        <w:tabs>
          <w:tab w:val="center" w:pos="1229"/>
          <w:tab w:val="center" w:pos="8299"/>
        </w:tabs>
        <w:spacing w:after="218"/>
        <w:ind w:left="0" w:firstLine="0"/>
      </w:pPr>
      <w:r>
        <w:tab/>
        <w:t>INTRODUCCION</w:t>
      </w:r>
      <w:r>
        <w:tab/>
      </w:r>
      <w:r>
        <w:t>1</w:t>
      </w:r>
    </w:p>
    <w:p w14:paraId="3CA82A7B" w14:textId="77777777" w:rsidR="00900A0E" w:rsidRDefault="00EB633C">
      <w:pPr>
        <w:tabs>
          <w:tab w:val="center" w:pos="986"/>
          <w:tab w:val="center" w:pos="8299"/>
        </w:tabs>
        <w:spacing w:after="189"/>
      </w:pPr>
      <w:r>
        <w:rPr>
          <w:sz w:val="32"/>
        </w:rPr>
        <w:tab/>
        <w:t>OBJETIVOS</w:t>
      </w:r>
      <w:r>
        <w:rPr>
          <w:sz w:val="32"/>
        </w:rPr>
        <w:tab/>
      </w:r>
      <w:r>
        <w:rPr>
          <w:sz w:val="32"/>
        </w:rPr>
        <w:t>1</w:t>
      </w:r>
    </w:p>
    <w:p w14:paraId="1A7277F1" w14:textId="77777777" w:rsidR="00900A0E" w:rsidRDefault="00EB633C">
      <w:pPr>
        <w:tabs>
          <w:tab w:val="center" w:pos="1956"/>
          <w:tab w:val="center" w:pos="8299"/>
        </w:tabs>
        <w:spacing w:after="122"/>
      </w:pPr>
      <w:r>
        <w:rPr>
          <w:sz w:val="32"/>
        </w:rPr>
        <w:tab/>
        <w:t>ALCANCE DE LA ACTIVIDAD</w:t>
      </w:r>
      <w:r>
        <w:rPr>
          <w:sz w:val="32"/>
        </w:rPr>
        <w:tab/>
      </w:r>
      <w:r>
        <w:rPr>
          <w:sz w:val="32"/>
        </w:rPr>
        <w:t>1</w:t>
      </w:r>
    </w:p>
    <w:p w14:paraId="3470286D" w14:textId="77777777" w:rsidR="00900A0E" w:rsidRDefault="00EB633C">
      <w:pPr>
        <w:tabs>
          <w:tab w:val="center" w:pos="2203"/>
          <w:tab w:val="center" w:pos="8299"/>
        </w:tabs>
        <w:spacing w:after="122"/>
      </w:pPr>
      <w:r>
        <w:rPr>
          <w:sz w:val="32"/>
        </w:rPr>
        <w:tab/>
        <w:t>RESULTADOS DE LA ACTIVIDAD</w:t>
      </w:r>
      <w:r>
        <w:rPr>
          <w:sz w:val="32"/>
        </w:rPr>
        <w:tab/>
      </w:r>
      <w:r>
        <w:rPr>
          <w:sz w:val="32"/>
        </w:rPr>
        <w:t>1</w:t>
      </w:r>
      <w:r>
        <w:br w:type="page"/>
      </w:r>
    </w:p>
    <w:p w14:paraId="4DCBA933" w14:textId="77777777" w:rsidR="00900A0E" w:rsidRDefault="00EB633C">
      <w:pPr>
        <w:tabs>
          <w:tab w:val="center" w:pos="1546"/>
          <w:tab w:val="center" w:pos="7082"/>
        </w:tabs>
        <w:spacing w:after="3" w:line="265" w:lineRule="auto"/>
      </w:pPr>
      <w:r>
        <w:rPr>
          <w:sz w:val="16"/>
        </w:rPr>
        <w:lastRenderedPageBreak/>
        <w:tab/>
        <w:t>DIRECCIÓN DE AUDITORÍA INTERNA</w:t>
      </w:r>
      <w:r>
        <w:rPr>
          <w:sz w:val="16"/>
        </w:rPr>
        <w:tab/>
        <w:t>Informe O-</w:t>
      </w:r>
      <w:proofErr w:type="spellStart"/>
      <w:r>
        <w:rPr>
          <w:sz w:val="16"/>
        </w:rPr>
        <w:t>DlDAt</w:t>
      </w:r>
      <w:proofErr w:type="spellEnd"/>
      <w:r>
        <w:rPr>
          <w:sz w:val="16"/>
        </w:rPr>
        <w:t>/SUB-242-2022 DIDEDUC de Escuintla</w:t>
      </w:r>
    </w:p>
    <w:p w14:paraId="1926EDEF" w14:textId="77777777" w:rsidR="00900A0E" w:rsidRDefault="00EB633C">
      <w:pPr>
        <w:spacing w:after="293"/>
        <w:ind w:left="254"/>
      </w:pPr>
      <w:r>
        <w:rPr>
          <w:noProof/>
        </w:rPr>
        <mc:AlternateContent>
          <mc:Choice Requires="wpg">
            <w:drawing>
              <wp:inline distT="0" distB="0" distL="0" distR="0" wp14:anchorId="6FE14895" wp14:editId="30AA6F85">
                <wp:extent cx="5608320" cy="12196"/>
                <wp:effectExtent l="0" t="0" r="0" b="0"/>
                <wp:docPr id="21089" name="Group 2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12196"/>
                          <a:chOff x="0" y="0"/>
                          <a:chExt cx="5608320" cy="12196"/>
                        </a:xfrm>
                      </wpg:grpSpPr>
                      <wps:wsp>
                        <wps:cNvPr id="21088" name="Shape 21088"/>
                        <wps:cNvSpPr/>
                        <wps:spPr>
                          <a:xfrm>
                            <a:off x="0" y="0"/>
                            <a:ext cx="56083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20" h="12196">
                                <a:moveTo>
                                  <a:pt x="0" y="6098"/>
                                </a:moveTo>
                                <a:lnTo>
                                  <a:pt x="56083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89" style="width:441.6pt;height:0.960293pt;mso-position-horizontal-relative:char;mso-position-vertical-relative:line" coordsize="56083,121">
                <v:shape id="Shape 21088" style="position:absolute;width:56083;height:121;left:0;top:0;" coordsize="5608320,12196" path="m0,6098l5608320,6098">
                  <v:stroke weight="0.9602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82AC97" w14:textId="77777777" w:rsidR="00900A0E" w:rsidRDefault="00EB633C">
      <w:pPr>
        <w:spacing w:after="235" w:line="216" w:lineRule="auto"/>
        <w:ind w:right="101" w:hanging="5"/>
      </w:pPr>
      <w:r>
        <w:rPr>
          <w:sz w:val="26"/>
        </w:rPr>
        <w:t>INTRODUCCIÓN</w:t>
      </w:r>
    </w:p>
    <w:p w14:paraId="0123CA44" w14:textId="77777777" w:rsidR="00900A0E" w:rsidRDefault="00EB633C">
      <w:pPr>
        <w:spacing w:after="219" w:line="216" w:lineRule="auto"/>
        <w:ind w:left="4" w:right="388"/>
        <w:jc w:val="both"/>
      </w:pPr>
      <w:r>
        <w:rPr>
          <w:sz w:val="24"/>
        </w:rPr>
        <w:t xml:space="preserve">De conformidad con el nombramiento de auditoría 0-DlDAl/SUB-242-2022, de fecha 17 de noviembre de 2022, fui nombrado para realizar consejo o consultoría de verificación de las tarjetas Kardex con el libro auxiliar de almacén, en la Dirección Departamental </w:t>
      </w:r>
      <w:r>
        <w:rPr>
          <w:sz w:val="24"/>
        </w:rPr>
        <w:t>de Educación de Escuintla.</w:t>
      </w:r>
    </w:p>
    <w:p w14:paraId="55134906" w14:textId="77777777" w:rsidR="00900A0E" w:rsidRDefault="00EB633C">
      <w:pPr>
        <w:pStyle w:val="Ttulo3"/>
      </w:pPr>
      <w:r>
        <w:t>OBJETIVOS</w:t>
      </w:r>
    </w:p>
    <w:p w14:paraId="5FE55F78" w14:textId="77777777" w:rsidR="00900A0E" w:rsidRDefault="00EB633C">
      <w:pPr>
        <w:spacing w:after="148"/>
        <w:ind w:left="20" w:hanging="10"/>
      </w:pPr>
      <w:r>
        <w:rPr>
          <w:sz w:val="28"/>
        </w:rPr>
        <w:t>GENERAL</w:t>
      </w:r>
    </w:p>
    <w:p w14:paraId="7D8C604C" w14:textId="77777777" w:rsidR="00900A0E" w:rsidRDefault="00EB633C">
      <w:pPr>
        <w:spacing w:after="201" w:line="216" w:lineRule="auto"/>
        <w:ind w:left="4" w:right="388"/>
        <w:jc w:val="both"/>
      </w:pPr>
      <w:r>
        <w:rPr>
          <w:sz w:val="24"/>
        </w:rPr>
        <w:t xml:space="preserve">Verificar las tarjetas </w:t>
      </w:r>
      <w:proofErr w:type="spellStart"/>
      <w:r>
        <w:rPr>
          <w:sz w:val="24"/>
        </w:rPr>
        <w:t>kardex</w:t>
      </w:r>
      <w:proofErr w:type="spellEnd"/>
      <w:r>
        <w:rPr>
          <w:sz w:val="24"/>
        </w:rPr>
        <w:t xml:space="preserve"> con el libro auxiliar de almacén.</w:t>
      </w:r>
    </w:p>
    <w:p w14:paraId="0D573E6C" w14:textId="77777777" w:rsidR="00900A0E" w:rsidRDefault="00EB633C">
      <w:pPr>
        <w:pStyle w:val="Ttulo2"/>
        <w:spacing w:after="129"/>
        <w:ind w:left="24"/>
      </w:pPr>
      <w:r>
        <w:t>ESPECIFICOS</w:t>
      </w:r>
    </w:p>
    <w:p w14:paraId="67025D9E" w14:textId="77777777" w:rsidR="00900A0E" w:rsidRDefault="00EB633C">
      <w:pPr>
        <w:spacing w:after="187" w:line="216" w:lineRule="auto"/>
        <w:ind w:right="101" w:hanging="5"/>
      </w:pPr>
      <w:r>
        <w:rPr>
          <w:sz w:val="26"/>
        </w:rPr>
        <w:t xml:space="preserve">Determinar la existencia de tarjetas </w:t>
      </w:r>
      <w:proofErr w:type="spellStart"/>
      <w:r>
        <w:rPr>
          <w:sz w:val="26"/>
        </w:rPr>
        <w:t>kardex</w:t>
      </w:r>
      <w:proofErr w:type="spellEnd"/>
      <w:r>
        <w:rPr>
          <w:sz w:val="26"/>
        </w:rPr>
        <w:t>, que las mismas estén autorizadas por la Contraloría General de Cuentas y actualizadas a la fecha de la intervención del auditor.</w:t>
      </w:r>
    </w:p>
    <w:p w14:paraId="60CE72ED" w14:textId="77777777" w:rsidR="00900A0E" w:rsidRDefault="00EB633C">
      <w:pPr>
        <w:spacing w:after="245" w:line="216" w:lineRule="auto"/>
        <w:ind w:left="4" w:right="388"/>
        <w:jc w:val="both"/>
      </w:pPr>
      <w:r>
        <w:rPr>
          <w:sz w:val="24"/>
        </w:rPr>
        <w:t xml:space="preserve">Verificar que hayan registrado ingresos y salidas en las tarjetas </w:t>
      </w:r>
      <w:proofErr w:type="spellStart"/>
      <w:r>
        <w:rPr>
          <w:sz w:val="24"/>
        </w:rPr>
        <w:t>kardex</w:t>
      </w:r>
      <w:proofErr w:type="spellEnd"/>
      <w:r>
        <w:rPr>
          <w:sz w:val="24"/>
        </w:rPr>
        <w:t xml:space="preserve">, con sus </w:t>
      </w:r>
      <w:r>
        <w:rPr>
          <w:sz w:val="24"/>
        </w:rPr>
        <w:t>respectivos documentos de soporte. Considerar una muestra de quince productos.</w:t>
      </w:r>
    </w:p>
    <w:p w14:paraId="6B1BE9F4" w14:textId="77777777" w:rsidR="00900A0E" w:rsidRDefault="00EB633C">
      <w:pPr>
        <w:spacing w:after="83"/>
        <w:ind w:left="15" w:hanging="10"/>
      </w:pPr>
      <w:r>
        <w:rPr>
          <w:sz w:val="28"/>
        </w:rPr>
        <w:t>ALCANCE DE LA ACTIVIDAD</w:t>
      </w:r>
    </w:p>
    <w:p w14:paraId="28EB1926" w14:textId="77777777" w:rsidR="00900A0E" w:rsidRDefault="00EB633C">
      <w:pPr>
        <w:spacing w:after="245" w:line="216" w:lineRule="auto"/>
        <w:ind w:left="4" w:right="38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8510AB" wp14:editId="2CDD314F">
            <wp:simplePos x="0" y="0"/>
            <wp:positionH relativeFrom="page">
              <wp:posOffset>1164336</wp:posOffset>
            </wp:positionH>
            <wp:positionV relativeFrom="page">
              <wp:posOffset>9683383</wp:posOffset>
            </wp:positionV>
            <wp:extent cx="5608321" cy="128054"/>
            <wp:effectExtent l="0" t="0" r="0" b="0"/>
            <wp:wrapTopAndBottom/>
            <wp:docPr id="21086" name="Picture 2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" name="Picture 210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8321" cy="12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El consejo o consultoría consistió en verificar las tarjetas </w:t>
      </w:r>
      <w:proofErr w:type="spellStart"/>
      <w:r>
        <w:rPr>
          <w:sz w:val="24"/>
        </w:rPr>
        <w:t>kardex</w:t>
      </w:r>
      <w:proofErr w:type="spellEnd"/>
      <w:r>
        <w:rPr>
          <w:sz w:val="24"/>
        </w:rPr>
        <w:t xml:space="preserve"> con el libro auxiliar de almacén de la DIDEDUC de Escuintla, que estuvieran autoriza</w:t>
      </w:r>
      <w:r>
        <w:rPr>
          <w:sz w:val="24"/>
        </w:rPr>
        <w:t xml:space="preserve">das por la Contraloría General de Cuentas y actualizadas a la fecha de intervención; así mismo, que se hayan registrado los ingresos y salidas de almacén con sus respectivos documentos de soporte, para la cual se consideró una muestra de quince productos, </w:t>
      </w:r>
      <w:r>
        <w:rPr>
          <w:sz w:val="24"/>
        </w:rPr>
        <w:t>el período de revisión comprendió del 01 de octubre al 15 de noviembre de 2022.</w:t>
      </w:r>
    </w:p>
    <w:p w14:paraId="5E3082AC" w14:textId="77777777" w:rsidR="00900A0E" w:rsidRDefault="00EB633C">
      <w:pPr>
        <w:spacing w:after="110"/>
        <w:ind w:left="29" w:hanging="10"/>
      </w:pPr>
      <w:r>
        <w:rPr>
          <w:sz w:val="28"/>
        </w:rPr>
        <w:t>RESULTADOS DE LA ACTIVIDAD</w:t>
      </w:r>
    </w:p>
    <w:p w14:paraId="0611DF59" w14:textId="77777777" w:rsidR="00900A0E" w:rsidRDefault="00EB633C">
      <w:pPr>
        <w:spacing w:after="43" w:line="216" w:lineRule="auto"/>
        <w:ind w:left="4" w:right="388"/>
        <w:jc w:val="both"/>
      </w:pPr>
      <w:r>
        <w:rPr>
          <w:sz w:val="24"/>
        </w:rPr>
        <w:t xml:space="preserve">El detalle de las 15 tarjetas </w:t>
      </w:r>
      <w:proofErr w:type="spellStart"/>
      <w:r>
        <w:rPr>
          <w:sz w:val="24"/>
        </w:rPr>
        <w:t>kardex</w:t>
      </w:r>
      <w:proofErr w:type="spellEnd"/>
      <w:r>
        <w:rPr>
          <w:sz w:val="24"/>
        </w:rPr>
        <w:t xml:space="preserve"> seleccionadas, se describen a continuación:</w:t>
      </w:r>
    </w:p>
    <w:tbl>
      <w:tblPr>
        <w:tblStyle w:val="TableGrid"/>
        <w:tblW w:w="8467" w:type="dxa"/>
        <w:tblInd w:w="446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937"/>
        <w:gridCol w:w="3374"/>
        <w:gridCol w:w="1311"/>
        <w:gridCol w:w="1122"/>
        <w:gridCol w:w="1173"/>
      </w:tblGrid>
      <w:tr w:rsidR="00900A0E" w14:paraId="7560F510" w14:textId="77777777">
        <w:trPr>
          <w:trHeight w:val="76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20B28" w14:textId="77777777" w:rsidR="00900A0E" w:rsidRDefault="00EB633C">
            <w:pPr>
              <w:spacing w:after="0"/>
              <w:ind w:left="19"/>
            </w:pPr>
            <w:r>
              <w:t>No.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2F5B8" w14:textId="77777777" w:rsidR="00900A0E" w:rsidRDefault="00EB633C">
            <w:pPr>
              <w:spacing w:after="0"/>
              <w:jc w:val="center"/>
            </w:pPr>
            <w:r>
              <w:rPr>
                <w:sz w:val="20"/>
              </w:rPr>
              <w:t>No. de tarjeta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954CF" w14:textId="77777777" w:rsidR="00900A0E" w:rsidRDefault="00EB633C">
            <w:pPr>
              <w:spacing w:after="0"/>
              <w:ind w:left="14"/>
              <w:jc w:val="center"/>
            </w:pPr>
            <w:r>
              <w:t>Artículo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4F2F" w14:textId="77777777" w:rsidR="00900A0E" w:rsidRDefault="00EB633C">
            <w:pPr>
              <w:spacing w:after="0"/>
              <w:ind w:left="182" w:hanging="24"/>
            </w:pPr>
            <w:r>
              <w:rPr>
                <w:sz w:val="20"/>
              </w:rPr>
              <w:t xml:space="preserve">Unidades </w:t>
            </w:r>
            <w:r>
              <w:rPr>
                <w:sz w:val="20"/>
              </w:rPr>
              <w:t xml:space="preserve">según </w:t>
            </w:r>
            <w:r>
              <w:rPr>
                <w:sz w:val="20"/>
              </w:rPr>
              <w:t>tarjeta al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58A95" w14:textId="77777777" w:rsidR="00900A0E" w:rsidRDefault="00EB633C">
            <w:pPr>
              <w:spacing w:after="0"/>
              <w:ind w:left="30" w:hanging="30"/>
              <w:jc w:val="center"/>
            </w:pPr>
            <w:r>
              <w:t xml:space="preserve">Unidades según conteo </w:t>
            </w:r>
            <w:proofErr w:type="spellStart"/>
            <w:r>
              <w:t>fisico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214B4" w14:textId="77777777" w:rsidR="00900A0E" w:rsidRDefault="00EB633C">
            <w:pPr>
              <w:spacing w:after="0"/>
              <w:ind w:left="43"/>
            </w:pPr>
            <w:r>
              <w:t>Diferencia</w:t>
            </w:r>
          </w:p>
        </w:tc>
      </w:tr>
      <w:tr w:rsidR="00900A0E" w14:paraId="65660686" w14:textId="77777777">
        <w:trPr>
          <w:trHeight w:val="29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5613" w14:textId="77777777" w:rsidR="00900A0E" w:rsidRDefault="00EB633C">
            <w:pPr>
              <w:spacing w:after="0"/>
              <w:ind w:right="1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D76A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374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4E669" w14:textId="77777777" w:rsidR="00900A0E" w:rsidRDefault="00EB633C">
            <w:pPr>
              <w:spacing w:after="0"/>
            </w:pPr>
            <w:proofErr w:type="spellStart"/>
            <w:r>
              <w:rPr>
                <w:sz w:val="20"/>
              </w:rPr>
              <w:t>Toner</w:t>
            </w:r>
            <w:proofErr w:type="spellEnd"/>
            <w:r>
              <w:rPr>
                <w:sz w:val="20"/>
              </w:rPr>
              <w:t xml:space="preserve"> HP Q7551A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0903" w14:textId="77777777" w:rsidR="00900A0E" w:rsidRDefault="00EB633C">
            <w:pPr>
              <w:spacing w:after="0"/>
              <w:ind w:left="5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E7AC7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F118" w14:textId="77777777" w:rsidR="00900A0E" w:rsidRDefault="00900A0E"/>
        </w:tc>
      </w:tr>
      <w:tr w:rsidR="00900A0E" w14:paraId="185FF6EF" w14:textId="77777777">
        <w:trPr>
          <w:trHeight w:val="21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53699" w14:textId="77777777" w:rsidR="00900A0E" w:rsidRDefault="00EB633C">
            <w:pPr>
              <w:spacing w:after="0"/>
              <w:ind w:right="1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C3EFC" w14:textId="77777777" w:rsidR="00900A0E" w:rsidRDefault="00EB633C">
            <w:pPr>
              <w:spacing w:after="0"/>
              <w:jc w:val="center"/>
            </w:pPr>
            <w:r>
              <w:rPr>
                <w:sz w:val="20"/>
              </w:rPr>
              <w:t>422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1441" w14:textId="77777777" w:rsidR="00900A0E" w:rsidRDefault="00EB633C">
            <w:pPr>
              <w:spacing w:after="0"/>
              <w:ind w:left="10"/>
            </w:pPr>
            <w:proofErr w:type="spellStart"/>
            <w:r>
              <w:rPr>
                <w:sz w:val="20"/>
              </w:rPr>
              <w:t>Cli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Marioosa</w:t>
            </w:r>
            <w:proofErr w:type="spellEnd"/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B8C2" w14:textId="77777777" w:rsidR="00900A0E" w:rsidRDefault="00EB633C">
            <w:pPr>
              <w:spacing w:after="0"/>
              <w:ind w:left="5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DEB0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62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FBA6" w14:textId="77777777" w:rsidR="00900A0E" w:rsidRDefault="00900A0E"/>
        </w:tc>
      </w:tr>
      <w:tr w:rsidR="00900A0E" w14:paraId="68F77A96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EA51" w14:textId="77777777" w:rsidR="00900A0E" w:rsidRDefault="00EB633C">
            <w:pPr>
              <w:spacing w:after="0"/>
              <w:ind w:right="5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A07CF" w14:textId="77777777" w:rsidR="00900A0E" w:rsidRDefault="00EB633C">
            <w:pPr>
              <w:spacing w:after="0"/>
              <w:jc w:val="center"/>
            </w:pPr>
            <w:r>
              <w:rPr>
                <w:sz w:val="20"/>
              </w:rPr>
              <w:t>470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56A3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Clips tipo Binder 50 mm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A54CE" w14:textId="77777777" w:rsidR="00900A0E" w:rsidRDefault="00EB633C">
            <w:pPr>
              <w:spacing w:after="0"/>
              <w:ind w:left="10"/>
              <w:jc w:val="center"/>
            </w:pPr>
            <w:r>
              <w:t>09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0F0C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09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1049" w14:textId="77777777" w:rsidR="00900A0E" w:rsidRDefault="00900A0E"/>
        </w:tc>
      </w:tr>
      <w:tr w:rsidR="00900A0E" w14:paraId="7D8CAAEC" w14:textId="77777777">
        <w:trPr>
          <w:trHeight w:val="2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C3ED" w14:textId="77777777" w:rsidR="00900A0E" w:rsidRDefault="00EB633C">
            <w:pPr>
              <w:spacing w:after="0"/>
              <w:ind w:right="1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74977" w14:textId="77777777" w:rsidR="00900A0E" w:rsidRDefault="00EB633C">
            <w:pPr>
              <w:spacing w:after="0"/>
              <w:ind w:left="5"/>
              <w:jc w:val="center"/>
            </w:pPr>
            <w:r>
              <w:rPr>
                <w:sz w:val="20"/>
              </w:rPr>
              <w:t>486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A497F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Clips tino Binder 25 mm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833A" w14:textId="77777777" w:rsidR="00900A0E" w:rsidRDefault="00EB633C">
            <w:pPr>
              <w:spacing w:after="0"/>
              <w:ind w:left="10"/>
              <w:jc w:val="center"/>
            </w:pPr>
            <w:r>
              <w:t>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05BD" w14:textId="77777777" w:rsidR="00900A0E" w:rsidRDefault="00EB633C">
            <w:pPr>
              <w:spacing w:after="0"/>
              <w:ind w:left="19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5E9F1" w14:textId="77777777" w:rsidR="00900A0E" w:rsidRDefault="00900A0E"/>
        </w:tc>
      </w:tr>
      <w:tr w:rsidR="00900A0E" w14:paraId="29358919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20EA" w14:textId="77777777" w:rsidR="00900A0E" w:rsidRDefault="00EB633C">
            <w:pPr>
              <w:spacing w:after="0"/>
              <w:ind w:right="5"/>
              <w:jc w:val="center"/>
            </w:pPr>
            <w:r>
              <w:t>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96A2D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804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B30E4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Cloro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F6E13" w14:textId="77777777" w:rsidR="00900A0E" w:rsidRDefault="00900A0E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A12C" w14:textId="77777777" w:rsidR="00900A0E" w:rsidRDefault="00900A0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9FFC2" w14:textId="77777777" w:rsidR="00900A0E" w:rsidRDefault="00900A0E"/>
        </w:tc>
      </w:tr>
      <w:tr w:rsidR="00900A0E" w14:paraId="11462DA4" w14:textId="77777777">
        <w:trPr>
          <w:trHeight w:val="21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52D6" w14:textId="77777777" w:rsidR="00900A0E" w:rsidRDefault="00EB633C">
            <w:pPr>
              <w:spacing w:after="0"/>
              <w:ind w:right="5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8B8B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896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54F5A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Clips Jumbo 50 mm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21346" w14:textId="77777777" w:rsidR="00900A0E" w:rsidRDefault="00EB633C">
            <w:pPr>
              <w:spacing w:after="0"/>
              <w:ind w:left="1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A4DA1" w14:textId="77777777" w:rsidR="00900A0E" w:rsidRDefault="00EB633C">
            <w:pPr>
              <w:spacing w:after="0"/>
              <w:ind w:left="14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0F43A" w14:textId="77777777" w:rsidR="00900A0E" w:rsidRDefault="00900A0E"/>
        </w:tc>
      </w:tr>
      <w:tr w:rsidR="00900A0E" w14:paraId="39EDC208" w14:textId="77777777">
        <w:trPr>
          <w:trHeight w:val="21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9484" w14:textId="77777777" w:rsidR="00900A0E" w:rsidRDefault="00EB633C">
            <w:pPr>
              <w:spacing w:after="0"/>
              <w:ind w:right="5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B5EAC" w14:textId="77777777" w:rsidR="00900A0E" w:rsidRDefault="00EB633C">
            <w:pPr>
              <w:spacing w:after="0"/>
              <w:ind w:left="5"/>
              <w:jc w:val="center"/>
            </w:pPr>
            <w:r>
              <w:rPr>
                <w:sz w:val="20"/>
              </w:rPr>
              <w:t>950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DAB4" w14:textId="77777777" w:rsidR="00900A0E" w:rsidRDefault="00EB633C">
            <w:pPr>
              <w:spacing w:after="0"/>
            </w:pPr>
            <w:proofErr w:type="spellStart"/>
            <w:r>
              <w:rPr>
                <w:sz w:val="20"/>
              </w:rPr>
              <w:t>Toner</w:t>
            </w:r>
            <w:proofErr w:type="spellEnd"/>
            <w:r>
              <w:rPr>
                <w:sz w:val="20"/>
              </w:rPr>
              <w:t xml:space="preserve"> HP Laser W14700 YC 147 Y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20CB9" w14:textId="77777777" w:rsidR="00900A0E" w:rsidRDefault="00EB633C">
            <w:pPr>
              <w:spacing w:after="0"/>
              <w:ind w:left="14"/>
              <w:jc w:val="center"/>
            </w:pPr>
            <w:r>
              <w:t>13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EED2D" w14:textId="77777777" w:rsidR="00900A0E" w:rsidRDefault="00EB633C">
            <w:pPr>
              <w:spacing w:after="0"/>
              <w:ind w:left="24"/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D9444" w14:textId="77777777" w:rsidR="00900A0E" w:rsidRDefault="00900A0E"/>
        </w:tc>
      </w:tr>
      <w:tr w:rsidR="00900A0E" w14:paraId="1BB6E464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971C3" w14:textId="77777777" w:rsidR="00900A0E" w:rsidRDefault="00EB633C">
            <w:pPr>
              <w:spacing w:after="0"/>
              <w:ind w:right="5"/>
              <w:jc w:val="center"/>
            </w:pPr>
            <w:r>
              <w:t>8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345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1025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78A9A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Cuenta fácil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D1C4C" w14:textId="77777777" w:rsidR="00900A0E" w:rsidRDefault="00EB633C">
            <w:pPr>
              <w:spacing w:after="0"/>
              <w:ind w:left="5"/>
              <w:jc w:val="center"/>
            </w:pPr>
            <w:r>
              <w:t>57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6E17" w14:textId="77777777" w:rsidR="00900A0E" w:rsidRDefault="00EB633C">
            <w:pPr>
              <w:spacing w:after="0"/>
              <w:ind w:left="14"/>
              <w:jc w:val="center"/>
            </w:pPr>
            <w:r>
              <w:t>57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6A6E" w14:textId="77777777" w:rsidR="00900A0E" w:rsidRDefault="00900A0E"/>
        </w:tc>
      </w:tr>
      <w:tr w:rsidR="00900A0E" w14:paraId="0A519F4F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8F6B" w14:textId="77777777" w:rsidR="00900A0E" w:rsidRDefault="00EB633C">
            <w:pPr>
              <w:spacing w:after="0"/>
              <w:ind w:right="5"/>
              <w:jc w:val="center"/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D376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1026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3CAB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Marcador resaltador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B4E0D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1026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3213" w14:textId="77777777" w:rsidR="00900A0E" w:rsidRDefault="00EB633C">
            <w:pPr>
              <w:spacing w:after="0"/>
              <w:ind w:left="24"/>
              <w:jc w:val="center"/>
            </w:pPr>
            <w:r>
              <w:rPr>
                <w:sz w:val="20"/>
              </w:rPr>
              <w:t>1026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C537" w14:textId="77777777" w:rsidR="00900A0E" w:rsidRDefault="00900A0E"/>
        </w:tc>
      </w:tr>
      <w:tr w:rsidR="00900A0E" w14:paraId="4136BA23" w14:textId="77777777">
        <w:trPr>
          <w:trHeight w:val="21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4262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49BA5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1167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CE1A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 xml:space="preserve">En </w:t>
            </w:r>
            <w:proofErr w:type="spellStart"/>
            <w:r>
              <w:rPr>
                <w:sz w:val="20"/>
              </w:rPr>
              <w:t>ra</w:t>
            </w:r>
            <w:proofErr w:type="spellEnd"/>
            <w:r>
              <w:rPr>
                <w:sz w:val="20"/>
              </w:rPr>
              <w:t xml:space="preserve"> adora standard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8805" w14:textId="77777777" w:rsidR="00900A0E" w:rsidRDefault="00EB633C">
            <w:pPr>
              <w:spacing w:after="0"/>
              <w:jc w:val="center"/>
            </w:pPr>
            <w:r>
              <w:t>23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1A15" w14:textId="77777777" w:rsidR="00900A0E" w:rsidRDefault="00EB633C">
            <w:pPr>
              <w:spacing w:after="0"/>
              <w:ind w:left="14"/>
              <w:jc w:val="center"/>
            </w:pPr>
            <w:r>
              <w:t>23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E718C" w14:textId="77777777" w:rsidR="00900A0E" w:rsidRDefault="00900A0E"/>
        </w:tc>
      </w:tr>
      <w:tr w:rsidR="00900A0E" w14:paraId="7D1B9C46" w14:textId="77777777">
        <w:trPr>
          <w:trHeight w:val="21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A5FB" w14:textId="77777777" w:rsidR="00900A0E" w:rsidRDefault="00EB633C">
            <w:pPr>
              <w:spacing w:after="0"/>
              <w:ind w:right="10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F8327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1172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111D" w14:textId="77777777" w:rsidR="00900A0E" w:rsidRDefault="00EB633C">
            <w:pPr>
              <w:spacing w:after="0"/>
              <w:ind w:left="10"/>
            </w:pPr>
            <w:proofErr w:type="spellStart"/>
            <w:r>
              <w:rPr>
                <w:sz w:val="20"/>
              </w:rPr>
              <w:t>Ca•a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ra</w:t>
            </w:r>
            <w:proofErr w:type="spellEnd"/>
            <w:r>
              <w:rPr>
                <w:sz w:val="20"/>
              </w:rPr>
              <w:t xml:space="preserve"> as standard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843E1" w14:textId="77777777" w:rsidR="00900A0E" w:rsidRDefault="00EB633C">
            <w:pPr>
              <w:spacing w:after="0"/>
              <w:jc w:val="center"/>
            </w:pPr>
            <w:r>
              <w:t>67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0D284" w14:textId="77777777" w:rsidR="00900A0E" w:rsidRDefault="00EB633C">
            <w:pPr>
              <w:spacing w:after="0"/>
              <w:ind w:left="14"/>
              <w:jc w:val="center"/>
            </w:pPr>
            <w:r>
              <w:t>67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8BD86" w14:textId="77777777" w:rsidR="00900A0E" w:rsidRDefault="00900A0E"/>
        </w:tc>
      </w:tr>
      <w:tr w:rsidR="00900A0E" w14:paraId="2430858D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2E48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3594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1327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5C2A" w14:textId="77777777" w:rsidR="00900A0E" w:rsidRDefault="00EB633C">
            <w:pPr>
              <w:spacing w:after="0"/>
              <w:ind w:left="10"/>
            </w:pPr>
            <w:proofErr w:type="spellStart"/>
            <w:r>
              <w:rPr>
                <w:sz w:val="20"/>
              </w:rPr>
              <w:t>Bolí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rafo</w:t>
            </w:r>
            <w:proofErr w:type="spellEnd"/>
            <w:r>
              <w:rPr>
                <w:sz w:val="20"/>
              </w:rPr>
              <w:t xml:space="preserve"> unto mediano azul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723A" w14:textId="77777777" w:rsidR="00900A0E" w:rsidRDefault="00EB633C">
            <w:pPr>
              <w:spacing w:after="0"/>
              <w:ind w:left="5"/>
              <w:jc w:val="center"/>
            </w:pPr>
            <w:r>
              <w:t>56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F30A" w14:textId="77777777" w:rsidR="00900A0E" w:rsidRDefault="00EB633C">
            <w:pPr>
              <w:spacing w:after="0"/>
              <w:ind w:left="14"/>
              <w:jc w:val="center"/>
            </w:pPr>
            <w:r>
              <w:t>56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838C" w14:textId="77777777" w:rsidR="00900A0E" w:rsidRDefault="00900A0E"/>
        </w:tc>
      </w:tr>
      <w:tr w:rsidR="00900A0E" w14:paraId="6E99B364" w14:textId="77777777">
        <w:trPr>
          <w:trHeight w:val="21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03714" w14:textId="77777777" w:rsidR="00900A0E" w:rsidRDefault="00EB633C">
            <w:pPr>
              <w:spacing w:after="0"/>
              <w:ind w:left="19"/>
              <w:jc w:val="center"/>
            </w:pPr>
            <w:r>
              <w:t>13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DF7B1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1186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44433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>Marcadores varios colores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3EF5" w14:textId="77777777" w:rsidR="00900A0E" w:rsidRDefault="00EB633C">
            <w:pPr>
              <w:spacing w:after="0"/>
              <w:ind w:left="5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0FC2C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152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6DC2D" w14:textId="77777777" w:rsidR="00900A0E" w:rsidRDefault="00900A0E"/>
        </w:tc>
      </w:tr>
      <w:tr w:rsidR="00900A0E" w14:paraId="240E2B06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3FCA4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FD60C" w14:textId="77777777" w:rsidR="00900A0E" w:rsidRDefault="00EB633C">
            <w:pPr>
              <w:spacing w:after="0"/>
              <w:ind w:left="19"/>
              <w:jc w:val="center"/>
            </w:pPr>
            <w:r>
              <w:rPr>
                <w:sz w:val="20"/>
              </w:rPr>
              <w:t>1244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38C95" w14:textId="77777777" w:rsidR="00900A0E" w:rsidRDefault="00EB633C">
            <w:pPr>
              <w:spacing w:after="0"/>
              <w:ind w:left="10"/>
            </w:pPr>
            <w:r>
              <w:t>Bolsas de arroba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24A6" w14:textId="77777777" w:rsidR="00900A0E" w:rsidRDefault="00EB633C">
            <w:pPr>
              <w:spacing w:after="0"/>
              <w:ind w:left="5"/>
              <w:jc w:val="center"/>
            </w:pPr>
            <w:r>
              <w:t>56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B92CD" w14:textId="77777777" w:rsidR="00900A0E" w:rsidRDefault="00EB633C">
            <w:pPr>
              <w:spacing w:after="0"/>
              <w:ind w:left="14"/>
              <w:jc w:val="center"/>
            </w:pPr>
            <w:r>
              <w:t>56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998B" w14:textId="77777777" w:rsidR="00900A0E" w:rsidRDefault="00900A0E"/>
        </w:tc>
      </w:tr>
      <w:tr w:rsidR="00900A0E" w14:paraId="6D5555E1" w14:textId="77777777">
        <w:trPr>
          <w:trHeight w:val="22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45EB" w14:textId="77777777" w:rsidR="00900A0E" w:rsidRDefault="00EB633C">
            <w:pPr>
              <w:spacing w:after="0"/>
              <w:ind w:left="19"/>
              <w:jc w:val="center"/>
            </w:pPr>
            <w:r>
              <w:t>15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1FD0" w14:textId="77777777" w:rsidR="00900A0E" w:rsidRDefault="00EB633C">
            <w:pPr>
              <w:spacing w:after="0"/>
              <w:ind w:left="24"/>
              <w:jc w:val="center"/>
            </w:pPr>
            <w:r>
              <w:rPr>
                <w:sz w:val="20"/>
              </w:rPr>
              <w:t>1246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9476D" w14:textId="77777777" w:rsidR="00900A0E" w:rsidRDefault="00EB633C">
            <w:pPr>
              <w:spacing w:after="0"/>
              <w:ind w:left="10"/>
            </w:pPr>
            <w:r>
              <w:rPr>
                <w:sz w:val="20"/>
              </w:rPr>
              <w:t xml:space="preserve">Lim </w:t>
            </w:r>
            <w:proofErr w:type="spellStart"/>
            <w:r>
              <w:rPr>
                <w:sz w:val="20"/>
              </w:rPr>
              <w:t>iamueble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Pead</w:t>
            </w:r>
            <w:proofErr w:type="spellEnd"/>
            <w:r>
              <w:rPr>
                <w:sz w:val="20"/>
              </w:rPr>
              <w:t xml:space="preserve"> e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60AC5" w14:textId="77777777" w:rsidR="00900A0E" w:rsidRDefault="00EB633C">
            <w:pPr>
              <w:spacing w:after="0"/>
              <w:jc w:val="center"/>
            </w:pPr>
            <w:r>
              <w:t>04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8103F" w14:textId="77777777" w:rsidR="00900A0E" w:rsidRDefault="00EB633C">
            <w:pPr>
              <w:spacing w:after="0"/>
              <w:ind w:left="14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EAD8" w14:textId="77777777" w:rsidR="00900A0E" w:rsidRDefault="00900A0E"/>
        </w:tc>
      </w:tr>
      <w:tr w:rsidR="00900A0E" w14:paraId="7D7EAB98" w14:textId="77777777">
        <w:trPr>
          <w:trHeight w:val="29"/>
        </w:trPr>
        <w:tc>
          <w:tcPr>
            <w:tcW w:w="733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CC8ADA" w14:textId="77777777" w:rsidR="00900A0E" w:rsidRDefault="00900A0E"/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F7BF9D" w14:textId="77777777" w:rsidR="00900A0E" w:rsidRDefault="00900A0E"/>
        </w:tc>
      </w:tr>
    </w:tbl>
    <w:p w14:paraId="7F89E3F2" w14:textId="77777777" w:rsidR="00900A0E" w:rsidRDefault="00EB633C">
      <w:pPr>
        <w:spacing w:after="0"/>
        <w:ind w:left="734"/>
      </w:pPr>
      <w:r>
        <w:rPr>
          <w:sz w:val="18"/>
        </w:rPr>
        <w:t xml:space="preserve">F </w:t>
      </w:r>
      <w:proofErr w:type="spellStart"/>
      <w:proofErr w:type="gramStart"/>
      <w:r>
        <w:rPr>
          <w:sz w:val="18"/>
        </w:rPr>
        <w:t>uente</w:t>
      </w:r>
      <w:proofErr w:type="spellEnd"/>
      <w:r>
        <w:rPr>
          <w:sz w:val="18"/>
        </w:rPr>
        <w:t>.•</w:t>
      </w:r>
      <w:proofErr w:type="gramEnd"/>
      <w:r>
        <w:rPr>
          <w:sz w:val="18"/>
        </w:rPr>
        <w:t xml:space="preserve"> Tarjetas </w:t>
      </w:r>
      <w:proofErr w:type="spellStart"/>
      <w:r>
        <w:rPr>
          <w:sz w:val="18"/>
        </w:rPr>
        <w:t>kardex</w:t>
      </w:r>
      <w:proofErr w:type="spellEnd"/>
      <w:r>
        <w:rPr>
          <w:sz w:val="18"/>
        </w:rPr>
        <w:t xml:space="preserve"> para control de almacén.</w:t>
      </w:r>
    </w:p>
    <w:p w14:paraId="67FAB352" w14:textId="77777777" w:rsidR="00900A0E" w:rsidRDefault="00EB633C">
      <w:pPr>
        <w:tabs>
          <w:tab w:val="center" w:pos="1915"/>
          <w:tab w:val="center" w:pos="6972"/>
        </w:tabs>
        <w:spacing w:after="0"/>
      </w:pPr>
      <w:r>
        <w:rPr>
          <w:sz w:val="14"/>
        </w:rPr>
        <w:tab/>
        <w:t>DIRECCIÓN DE AUDITORIA INTERNA</w:t>
      </w:r>
      <w:r>
        <w:rPr>
          <w:sz w:val="14"/>
        </w:rPr>
        <w:tab/>
        <w:t>Informe 0-DtDAVSUB-242-2022 DEDEDUC de Escuintla</w:t>
      </w:r>
    </w:p>
    <w:p w14:paraId="17BE4D19" w14:textId="77777777" w:rsidR="00900A0E" w:rsidRDefault="00EB633C">
      <w:pPr>
        <w:spacing w:after="290"/>
        <w:ind w:left="744"/>
      </w:pPr>
      <w:r>
        <w:rPr>
          <w:noProof/>
        </w:rPr>
        <mc:AlternateContent>
          <mc:Choice Requires="wpg">
            <w:drawing>
              <wp:inline distT="0" distB="0" distL="0" distR="0" wp14:anchorId="3CB97E96" wp14:editId="333A26FF">
                <wp:extent cx="5120640" cy="12196"/>
                <wp:effectExtent l="0" t="0" r="0" b="0"/>
                <wp:docPr id="21095" name="Group 2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12196"/>
                          <a:chOff x="0" y="0"/>
                          <a:chExt cx="5120640" cy="12196"/>
                        </a:xfrm>
                      </wpg:grpSpPr>
                      <wps:wsp>
                        <wps:cNvPr id="21094" name="Shape 21094"/>
                        <wps:cNvSpPr/>
                        <wps:spPr>
                          <a:xfrm>
                            <a:off x="0" y="0"/>
                            <a:ext cx="512064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0" h="12196">
                                <a:moveTo>
                                  <a:pt x="0" y="6098"/>
                                </a:moveTo>
                                <a:lnTo>
                                  <a:pt x="512064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095" style="width:403.2pt;height:0.960289pt;mso-position-horizontal-relative:char;mso-position-vertical-relative:line" coordsize="51206,121">
                <v:shape id="Shape 21094" style="position:absolute;width:51206;height:121;left:0;top:0;" coordsize="5120640,12196" path="m0,6098l5120640,6098">
                  <v:stroke weight="0.96028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AA078AB" w14:textId="77777777" w:rsidR="00900A0E" w:rsidRDefault="00EB633C">
      <w:pPr>
        <w:spacing w:after="187" w:line="216" w:lineRule="auto"/>
        <w:ind w:left="519" w:right="101" w:hanging="5"/>
      </w:pPr>
      <w:r>
        <w:rPr>
          <w:sz w:val="26"/>
        </w:rPr>
        <w:t>DEFICIENCIAS DETERMINADAS EN VERIFICACIÓN DE LAS TARJETAS KARDEX CON EL LIBRO AUXILIAR DE ALMACEN</w:t>
      </w:r>
    </w:p>
    <w:p w14:paraId="794227FC" w14:textId="77777777" w:rsidR="00900A0E" w:rsidRDefault="00EB633C">
      <w:pPr>
        <w:numPr>
          <w:ilvl w:val="0"/>
          <w:numId w:val="1"/>
        </w:numPr>
        <w:spacing w:after="229" w:line="216" w:lineRule="auto"/>
        <w:ind w:right="715" w:hanging="269"/>
        <w:jc w:val="both"/>
      </w:pPr>
      <w:r>
        <w:t xml:space="preserve">Tarjetas </w:t>
      </w:r>
      <w:proofErr w:type="spellStart"/>
      <w:r>
        <w:t>kardex</w:t>
      </w:r>
      <w:proofErr w:type="spellEnd"/>
      <w:r>
        <w:t xml:space="preserve"> para control de almacén sin código del artículo.</w:t>
      </w:r>
    </w:p>
    <w:p w14:paraId="7A04F617" w14:textId="77777777" w:rsidR="00900A0E" w:rsidRDefault="00EB633C">
      <w:pPr>
        <w:spacing w:after="238" w:line="216" w:lineRule="auto"/>
        <w:ind w:left="513" w:right="715" w:hanging="10"/>
        <w:jc w:val="both"/>
      </w:pPr>
      <w:r>
        <w:t>Según mues</w:t>
      </w:r>
      <w:r>
        <w:t xml:space="preserve">tra seleccionada de 15 tarjetas </w:t>
      </w:r>
      <w:proofErr w:type="spellStart"/>
      <w:r>
        <w:t>kardex</w:t>
      </w:r>
      <w:proofErr w:type="spellEnd"/>
      <w:r>
        <w:t xml:space="preserve"> para control de almacén, se determinó que 12 no tienen el código del artículo en el espacio diseñado para el efecto, siendo las siguientes: Kardex No. 486, 804, 896, 950, 1025, 1026, 1167, 1172, 1327, 1186, 1244 y 124</w:t>
      </w:r>
      <w:r>
        <w:t>6.</w:t>
      </w:r>
    </w:p>
    <w:p w14:paraId="2B61C0D3" w14:textId="77777777" w:rsidR="00900A0E" w:rsidRDefault="00EB633C">
      <w:pPr>
        <w:numPr>
          <w:ilvl w:val="0"/>
          <w:numId w:val="1"/>
        </w:numPr>
        <w:spacing w:after="203" w:line="216" w:lineRule="auto"/>
        <w:ind w:right="715" w:hanging="269"/>
        <w:jc w:val="both"/>
      </w:pPr>
      <w:r>
        <w:t xml:space="preserve">Cantidad entregada y precio unitario según despacho de almacén, no coinciden con el registro de la tarjeta </w:t>
      </w:r>
      <w:proofErr w:type="spellStart"/>
      <w:r>
        <w:t>kardex</w:t>
      </w:r>
      <w:proofErr w:type="spellEnd"/>
      <w:r>
        <w:t>.</w:t>
      </w:r>
    </w:p>
    <w:p w14:paraId="602F2ADA" w14:textId="77777777" w:rsidR="00900A0E" w:rsidRDefault="00EB633C">
      <w:pPr>
        <w:spacing w:after="162" w:line="216" w:lineRule="auto"/>
        <w:ind w:left="513" w:right="715" w:hanging="10"/>
        <w:jc w:val="both"/>
      </w:pPr>
      <w:r>
        <w:t>Al revisar el formulario para despacho de almacén No. 2354 de fecha 24 de octubre de 2022, específicamente del producto clip binder 25 ml,</w:t>
      </w:r>
      <w:r>
        <w:t xml:space="preserve"> se puede observar que la cantidad despachada es de 3 unidades a un precio unitario de Q. 9.00; sin embargo, en la tarjeta </w:t>
      </w:r>
      <w:proofErr w:type="spellStart"/>
      <w:r>
        <w:t>kardex</w:t>
      </w:r>
      <w:proofErr w:type="spellEnd"/>
      <w:r>
        <w:t xml:space="preserve"> No. 486 se registra la </w:t>
      </w:r>
      <w:proofErr w:type="spellStart"/>
      <w:proofErr w:type="gramStart"/>
      <w:r>
        <w:t>sa</w:t>
      </w:r>
      <w:proofErr w:type="spellEnd"/>
      <w:r>
        <w:t>(</w:t>
      </w:r>
      <w:proofErr w:type="gramEnd"/>
      <w:r>
        <w:t>ida de 4 unidades a un precio unitario de Q. 0.37.</w:t>
      </w:r>
    </w:p>
    <w:p w14:paraId="0C8BE2FC" w14:textId="77777777" w:rsidR="00900A0E" w:rsidRDefault="00EB633C">
      <w:pPr>
        <w:numPr>
          <w:ilvl w:val="0"/>
          <w:numId w:val="1"/>
        </w:numPr>
        <w:spacing w:after="290" w:line="216" w:lineRule="auto"/>
        <w:ind w:right="715" w:hanging="269"/>
        <w:jc w:val="both"/>
      </w:pPr>
      <w:r>
        <w:t>Formularios para despacho de almacén con tachones</w:t>
      </w:r>
      <w:r>
        <w:t xml:space="preserve"> y sin deshabilitar espacios en blanco.</w:t>
      </w:r>
    </w:p>
    <w:p w14:paraId="6D8FA5B3" w14:textId="77777777" w:rsidR="00900A0E" w:rsidRDefault="00EB633C">
      <w:pPr>
        <w:spacing w:after="199" w:line="216" w:lineRule="auto"/>
        <w:ind w:left="513" w:right="715" w:hanging="10"/>
        <w:jc w:val="both"/>
      </w:pPr>
      <w:r>
        <w:t>Al revisar los formularios para despacho de almacén, se pudo observar que los formularios Nos. 2354 y 2362 tienen tachones, así mismo los formularios Nos. 2363 y 2364 tienen espacios en blanco que quedan después de describir los artículos, los cuales deben</w:t>
      </w:r>
      <w:r>
        <w:t xml:space="preserve"> deshabilitarse.</w:t>
      </w:r>
    </w:p>
    <w:p w14:paraId="3AD4C129" w14:textId="77777777" w:rsidR="00900A0E" w:rsidRDefault="00EB633C">
      <w:pPr>
        <w:spacing w:after="187" w:line="216" w:lineRule="auto"/>
        <w:ind w:left="504" w:right="101" w:hanging="5"/>
      </w:pPr>
      <w:r>
        <w:rPr>
          <w:sz w:val="26"/>
        </w:rPr>
        <w:t>RECOMENDACIONES</w:t>
      </w:r>
    </w:p>
    <w:p w14:paraId="0F030290" w14:textId="77777777" w:rsidR="00900A0E" w:rsidRDefault="00EB633C">
      <w:pPr>
        <w:spacing w:after="266" w:line="216" w:lineRule="auto"/>
        <w:ind w:left="513" w:right="715" w:hanging="10"/>
        <w:jc w:val="both"/>
      </w:pPr>
      <w:r>
        <w:t xml:space="preserve">Que el </w:t>
      </w:r>
      <w:proofErr w:type="gramStart"/>
      <w:r>
        <w:t>Director</w:t>
      </w:r>
      <w:proofErr w:type="gramEnd"/>
      <w:r>
        <w:t xml:space="preserve"> Departamental de Educación de Escuintla, gire instrucciones por escrito a la Jefe del Departamento Administrativo Financiero y esta a su vez a quien corresponda a efecto se realice lo siguiente:</w:t>
      </w:r>
    </w:p>
    <w:p w14:paraId="0185F86D" w14:textId="77777777" w:rsidR="00900A0E" w:rsidRDefault="00EB633C">
      <w:pPr>
        <w:numPr>
          <w:ilvl w:val="0"/>
          <w:numId w:val="2"/>
        </w:numPr>
        <w:spacing w:after="325" w:line="216" w:lineRule="auto"/>
        <w:ind w:right="715" w:hanging="317"/>
        <w:jc w:val="both"/>
      </w:pPr>
      <w:r>
        <w:t>Se coloque a</w:t>
      </w:r>
      <w:r>
        <w:t xml:space="preserve"> fas tarjetas </w:t>
      </w:r>
      <w:proofErr w:type="spellStart"/>
      <w:r>
        <w:t>kardex</w:t>
      </w:r>
      <w:proofErr w:type="spellEnd"/>
      <w:r>
        <w:t xml:space="preserve"> el código de almacén, según la deficiencia detectada y se verifique que la totalidad de las mismas, lo tengan consignado.</w:t>
      </w:r>
    </w:p>
    <w:p w14:paraId="0B982439" w14:textId="77777777" w:rsidR="00900A0E" w:rsidRDefault="00EB633C">
      <w:pPr>
        <w:numPr>
          <w:ilvl w:val="0"/>
          <w:numId w:val="2"/>
        </w:numPr>
        <w:spacing w:after="243" w:line="216" w:lineRule="auto"/>
        <w:ind w:right="715" w:hanging="317"/>
        <w:jc w:val="both"/>
      </w:pPr>
      <w:r>
        <w:t>Verifiquen las cantidades y precios despachados en los documentos descritos en la deficiencia, con el objeto de r</w:t>
      </w:r>
      <w:r>
        <w:t>ealizar las correcciones correspondientes,</w:t>
      </w:r>
    </w:p>
    <w:p w14:paraId="66B26224" w14:textId="77777777" w:rsidR="00900A0E" w:rsidRDefault="00EB633C">
      <w:pPr>
        <w:numPr>
          <w:ilvl w:val="0"/>
          <w:numId w:val="2"/>
        </w:numPr>
        <w:spacing w:after="162" w:line="216" w:lineRule="auto"/>
        <w:ind w:right="715" w:hanging="317"/>
        <w:jc w:val="both"/>
      </w:pPr>
      <w:r>
        <w:t xml:space="preserve">En fo sucesivo, se vele porque dichos formularios no contengan tachones; así mismo, los espacios en blanco que queden después de describir los artículos, deberán inhabilitarse para </w:t>
      </w:r>
      <w:r>
        <w:rPr>
          <w:noProof/>
        </w:rPr>
        <w:lastRenderedPageBreak/>
        <w:drawing>
          <wp:inline distT="0" distB="0" distL="0" distR="0" wp14:anchorId="58F6CAB2" wp14:editId="0ECAE223">
            <wp:extent cx="4437888" cy="2213519"/>
            <wp:effectExtent l="0" t="0" r="0" b="0"/>
            <wp:docPr id="21090" name="Picture 2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" name="Picture 210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221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correr el riesgo de registro</w:t>
      </w:r>
      <w:r>
        <w:t>s posteriores.</w:t>
      </w:r>
    </w:p>
    <w:p w14:paraId="646BF6B3" w14:textId="77777777" w:rsidR="00900A0E" w:rsidRDefault="00EB633C">
      <w:pPr>
        <w:spacing w:after="0"/>
        <w:ind w:left="830"/>
      </w:pPr>
      <w:r>
        <w:rPr>
          <w:noProof/>
        </w:rPr>
        <w:drawing>
          <wp:inline distT="0" distB="0" distL="0" distR="0" wp14:anchorId="18521988" wp14:editId="20AA2E74">
            <wp:extent cx="5126736" cy="125006"/>
            <wp:effectExtent l="0" t="0" r="0" b="0"/>
            <wp:docPr id="21092" name="Picture 2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2" name="Picture 210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6736" cy="12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A0E">
      <w:pgSz w:w="12240" w:h="15840"/>
      <w:pgMar w:top="772" w:right="1056" w:bottom="946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DD9"/>
    <w:multiLevelType w:val="hybridMultilevel"/>
    <w:tmpl w:val="D1BEDDBE"/>
    <w:lvl w:ilvl="0" w:tplc="68364258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013D2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B4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2C1F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41B1C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80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ECA8FE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09A4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E6F4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E00C1"/>
    <w:multiLevelType w:val="hybridMultilevel"/>
    <w:tmpl w:val="190C21E0"/>
    <w:lvl w:ilvl="0" w:tplc="F9409FDA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4E9A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25A7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2AC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0911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8F73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ACEE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2C2C6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6CFF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0E"/>
    <w:rsid w:val="00900A0E"/>
    <w:rsid w:val="00E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084A7"/>
  <w15:docId w15:val="{4470974D-5D3C-4292-8C95-10628A35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596"/>
      <w:ind w:left="23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51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93"/>
      <w:ind w:left="5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Calibri" w:eastAsia="Calibri" w:hAnsi="Calibri" w:cs="Calibri"/>
      <w:color w:val="000000"/>
      <w:sz w:val="24"/>
    </w:rPr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30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704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SKM_36722120713520</dc:title>
  <dc:subject/>
  <dc:creator>Wendy Gabriela De Paz Meléndez</dc:creator>
  <cp:keywords/>
  <cp:lastModifiedBy>Wendy Gabriela De Paz Meléndez</cp:lastModifiedBy>
  <cp:revision>2</cp:revision>
  <dcterms:created xsi:type="dcterms:W3CDTF">2023-01-04T20:44:00Z</dcterms:created>
  <dcterms:modified xsi:type="dcterms:W3CDTF">2023-01-04T20:44:00Z</dcterms:modified>
</cp:coreProperties>
</file>